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0"/>
        <w:gridCol w:w="1890"/>
        <w:gridCol w:w="990"/>
        <w:gridCol w:w="1620"/>
        <w:gridCol w:w="828"/>
      </w:tblGrid>
      <w:tr w:rsidR="00BE1360" w:rsidRPr="00BE1360" w:rsidTr="00BE1360">
        <w:trPr>
          <w:trHeight w:val="6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b/>
                <w:bCs/>
                <w:color w:val="000000"/>
              </w:rPr>
              <w:t>Botanical Name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b/>
                <w:bCs/>
                <w:color w:val="000000"/>
              </w:rPr>
              <w:t>Common Name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b/>
                <w:bCs/>
                <w:color w:val="000000"/>
              </w:rPr>
              <w:t>Comments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E1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Stature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E1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Water Use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b/>
                <w:color w:val="000000"/>
              </w:rPr>
              <w:t>CA native</w:t>
            </w:r>
          </w:p>
        </w:tc>
      </w:tr>
      <w:tr w:rsidR="00BE1360" w:rsidRPr="00BE1360" w:rsidTr="00BE1360">
        <w:trPr>
          <w:trHeight w:val="78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Acer ×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freemanii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Freeman Maple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BE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saccharinum</w:t>
            </w:r>
            <w:proofErr w:type="spellEnd"/>
            <w:r w:rsidRPr="00BE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A. </w:t>
            </w:r>
            <w:proofErr w:type="spellStart"/>
            <w:r w:rsidRPr="00BE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rubrum</w:t>
            </w:r>
            <w:proofErr w:type="spellEnd"/>
            <w:r w:rsidRPr="00BE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 requires structural pruning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Drought tolerant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Acer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buergerianum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Trident Maple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High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Acer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negundo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Boxelder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Narrow, upright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Moderate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Native</w:t>
            </w:r>
          </w:p>
        </w:tc>
      </w:tr>
      <w:tr w:rsidR="00BE1360" w:rsidRPr="00BE1360" w:rsidTr="00BE1360">
        <w:trPr>
          <w:trHeight w:val="78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Acer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platanoides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Norway Maple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Endures drought but prefers moisture, Well drained soil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M-L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Drought tolerant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Acer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pseudoplatanus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Sycamore Maple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Well drained soil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Drought tolerant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52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Acer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rubrum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Red Maple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Endures drought but prefers moisture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Drought tolerant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Acer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saccharum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Sugar Maple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High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Arbutus 'marina'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Marina Madrone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Casuarina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cunninghamiana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River She-Oak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Drought tolerant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Celtis</w:t>
            </w:r>
            <w:proofErr w:type="spellEnd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australis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European Hackberry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Drought tolerant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52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Cinnamomum</w:t>
            </w:r>
            <w:proofErr w:type="spellEnd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camphora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Camphor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Trees started from cuttings only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Moderate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Corymbia</w:t>
            </w:r>
            <w:proofErr w:type="spellEnd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citriodora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Lemon-Scented Gum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Parks only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Drought tolerant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Corymbia</w:t>
            </w:r>
            <w:proofErr w:type="spellEnd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ficifolia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Red Flowering Gum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Drought tolerant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Eriobotrya</w:t>
            </w:r>
            <w:proofErr w:type="spellEnd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deflexa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Bronze Loquat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Moderate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Eucalyptus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forrestiana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Fuchsia Eucalyptus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Shrub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Drought tolerant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Eucalyptus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leucoxylon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color w:val="000000"/>
              </w:rPr>
              <w:t>Wallangarra</w:t>
            </w:r>
            <w:proofErr w:type="spellEnd"/>
            <w:r w:rsidRPr="00BE1360">
              <w:rPr>
                <w:rFonts w:ascii="Calibri" w:eastAsia="Times New Roman" w:hAnsi="Calibri" w:cs="Times New Roman"/>
                <w:color w:val="000000"/>
              </w:rPr>
              <w:t xml:space="preserve"> White Gum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Drought tolerant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52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Eucalyptus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microtheca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color w:val="000000"/>
              </w:rPr>
              <w:t>Coolibah</w:t>
            </w:r>
            <w:proofErr w:type="spellEnd"/>
            <w:r w:rsidRPr="00BE1360">
              <w:rPr>
                <w:rFonts w:ascii="Calibri" w:eastAsia="Times New Roman" w:hAnsi="Calibri" w:cs="Times New Roman"/>
                <w:color w:val="000000"/>
              </w:rPr>
              <w:t xml:space="preserve"> Gum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Early structural pruning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Drought tolerant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Eucalyptus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polyanthemos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Silver Dollar Gum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Drought tolerant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Eucalyptus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robusta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Swamp Mahogany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Drought tolerant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Eucalyptus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spathulata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 xml:space="preserve">Swamp </w:t>
            </w:r>
            <w:proofErr w:type="spellStart"/>
            <w:r w:rsidRPr="00BE1360">
              <w:rPr>
                <w:rFonts w:ascii="Calibri" w:eastAsia="Times New Roman" w:hAnsi="Calibri" w:cs="Times New Roman"/>
                <w:color w:val="000000"/>
              </w:rPr>
              <w:t>Mallee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Tolerant of poor soil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Drought tolerant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Eucalyptus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torquata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Coral Gum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Drought tolerant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Gingko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biloba</w:t>
            </w:r>
            <w:proofErr w:type="spellEnd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Maiden Hair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Well drained soil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Gleditsia</w:t>
            </w:r>
            <w:proofErr w:type="spellEnd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triacanthos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Honey Locust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Drought tolerant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lastRenderedPageBreak/>
              <w:t xml:space="preserve">Grevillea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robusta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Silk Oak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Litter, Brash wood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Drought tolerant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Hesperocyparis</w:t>
            </w:r>
            <w:proofErr w:type="spellEnd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macrocarpa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Monterey Cypress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Parks only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Drought tolerant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Native</w:t>
            </w: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Koelreuteria</w:t>
            </w:r>
            <w:proofErr w:type="spellEnd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bipinnata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Chinese Flame Tree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Moderate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78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Koelreuteria</w:t>
            </w:r>
            <w:proofErr w:type="spellEnd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paniculata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Golden Rain Tree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Minimum 10x10 ft. parkway with proper site prep.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Drought tolerant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103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Liquidambar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formosana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Chinese Sweetgum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Smaller than American Sweetgum, but still requires lots of space for root expansion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Moderate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Lophostemon</w:t>
            </w:r>
            <w:proofErr w:type="spellEnd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confertus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Brisbane Box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M-L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Drought tolerant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Melaleuca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linariifolia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color w:val="000000"/>
              </w:rPr>
              <w:t>Flaxleaf</w:t>
            </w:r>
            <w:proofErr w:type="spellEnd"/>
            <w:r w:rsidRPr="00BE1360">
              <w:rPr>
                <w:rFonts w:ascii="Calibri" w:eastAsia="Times New Roman" w:hAnsi="Calibri" w:cs="Times New Roman"/>
                <w:color w:val="000000"/>
              </w:rPr>
              <w:t xml:space="preserve"> Paperbark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Drought tolerant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Melaleuca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quinquenervia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Paperbark (</w:t>
            </w:r>
            <w:proofErr w:type="spellStart"/>
            <w:r w:rsidRPr="00BE1360">
              <w:rPr>
                <w:rFonts w:ascii="Calibri" w:eastAsia="Times New Roman" w:hAnsi="Calibri" w:cs="Times New Roman"/>
                <w:color w:val="000000"/>
              </w:rPr>
              <w:t>Cajeput</w:t>
            </w:r>
            <w:proofErr w:type="spellEnd"/>
            <w:r w:rsidRPr="00BE1360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Drought tolerant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Arial"/>
                <w:i/>
                <w:iCs/>
                <w:color w:val="000000"/>
              </w:rPr>
              <w:t>Metrosideros</w:t>
            </w:r>
            <w:proofErr w:type="spellEnd"/>
            <w:r w:rsidRPr="00BE1360">
              <w:rPr>
                <w:rFonts w:ascii="Calibri" w:eastAsia="Times New Roman" w:hAnsi="Calibri" w:cs="Arial"/>
                <w:i/>
                <w:iCs/>
                <w:color w:val="000000"/>
              </w:rPr>
              <w:t xml:space="preserve"> </w:t>
            </w:r>
            <w:proofErr w:type="spellStart"/>
            <w:r w:rsidRPr="00BE1360">
              <w:rPr>
                <w:rFonts w:ascii="Calibri" w:eastAsia="Times New Roman" w:hAnsi="Calibri" w:cs="Arial"/>
                <w:i/>
                <w:iCs/>
                <w:color w:val="000000"/>
              </w:rPr>
              <w:t>excelsa</w:t>
            </w:r>
            <w:proofErr w:type="spellEnd"/>
            <w:r w:rsidRPr="00BE1360">
              <w:rPr>
                <w:rFonts w:ascii="Calibri" w:eastAsia="Times New Roman" w:hAnsi="Calibri" w:cs="Arial"/>
                <w:color w:val="00000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New Zealand Christmas Tree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Drought tolerant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Pinus</w:t>
            </w:r>
            <w:proofErr w:type="spellEnd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pinea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Italian Stone Pine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Parks only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Drought tolerant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Pistacia</w:t>
            </w:r>
            <w:proofErr w:type="spellEnd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chinensis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 xml:space="preserve">Chinese </w:t>
            </w:r>
            <w:proofErr w:type="spellStart"/>
            <w:r w:rsidRPr="00BE1360">
              <w:rPr>
                <w:rFonts w:ascii="Calibri" w:eastAsia="Times New Roman" w:hAnsi="Calibri" w:cs="Times New Roman"/>
                <w:color w:val="000000"/>
              </w:rPr>
              <w:t>Pistache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Drought tolerant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Pittosporum</w:t>
            </w:r>
            <w:proofErr w:type="spellEnd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undulatum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Victorian Box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Drought tolerant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52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Platanus</w:t>
            </w:r>
            <w:proofErr w:type="spellEnd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x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hispanica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London Plane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Over used, Use sparingly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Moderate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Quercus</w:t>
            </w:r>
            <w:proofErr w:type="spellEnd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agrifolia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Coast Live Oak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Drought tolerant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Native</w:t>
            </w: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Quercus</w:t>
            </w:r>
            <w:proofErr w:type="spellEnd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ilex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Holly Oak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M-L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78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Quercus</w:t>
            </w:r>
            <w:proofErr w:type="spellEnd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palustris</w:t>
            </w:r>
            <w:proofErr w:type="spellEnd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Green Pillar Oak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Takes high pH soil, Brown leaves hang on until spring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High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Quercus</w:t>
            </w:r>
            <w:proofErr w:type="spellEnd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robur</w:t>
            </w:r>
            <w:proofErr w:type="spellEnd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x Q. Alba ‘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Crimschmidt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Crimson Spire Oak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Moderate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Quercus</w:t>
            </w:r>
            <w:proofErr w:type="spellEnd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shumardii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color w:val="000000"/>
              </w:rPr>
              <w:t>Shumard</w:t>
            </w:r>
            <w:proofErr w:type="spellEnd"/>
            <w:r w:rsidRPr="00BE1360">
              <w:rPr>
                <w:rFonts w:ascii="Calibri" w:eastAsia="Times New Roman" w:hAnsi="Calibri" w:cs="Times New Roman"/>
                <w:color w:val="000000"/>
              </w:rPr>
              <w:t xml:space="preserve"> Oak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Quercus</w:t>
            </w:r>
            <w:proofErr w:type="spellEnd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suber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Cork Oak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Drought tolerant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Quercus</w:t>
            </w:r>
            <w:proofErr w:type="spellEnd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virginiana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Southern Live Oak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Moderate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color w:val="000000"/>
              </w:rPr>
              <w:t>Rhus</w:t>
            </w:r>
            <w:proofErr w:type="spellEnd"/>
            <w:r w:rsidRPr="00BE136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E1360">
              <w:rPr>
                <w:rFonts w:ascii="Calibri" w:eastAsia="Times New Roman" w:hAnsi="Calibri" w:cs="Times New Roman"/>
                <w:color w:val="000000"/>
              </w:rPr>
              <w:t>lancea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African Sumac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Drought tolerant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Robinia</w:t>
            </w:r>
            <w:proofErr w:type="spellEnd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pseudoacacia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Black Locust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Robinia</w:t>
            </w:r>
            <w:proofErr w:type="spellEnd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pseudoacacia</w:t>
            </w:r>
            <w:proofErr w:type="spellEnd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'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frisia</w:t>
            </w:r>
            <w:proofErr w:type="spellEnd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'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color w:val="000000"/>
              </w:rPr>
              <w:t>Frisia</w:t>
            </w:r>
            <w:proofErr w:type="spellEnd"/>
            <w:r w:rsidRPr="00BE1360">
              <w:rPr>
                <w:rFonts w:ascii="Calibri" w:eastAsia="Times New Roman" w:hAnsi="Calibri" w:cs="Times New Roman"/>
                <w:color w:val="000000"/>
              </w:rPr>
              <w:t xml:space="preserve"> Locust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Well drained soil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Very Low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lastRenderedPageBreak/>
              <w:t>Schinus</w:t>
            </w:r>
            <w:proofErr w:type="spellEnd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terebinthifolius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Brazilian Pepper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Drought tolerant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Sophora</w:t>
            </w:r>
            <w:proofErr w:type="spellEnd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japonica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 xml:space="preserve">Japanese </w:t>
            </w:r>
            <w:proofErr w:type="spellStart"/>
            <w:r w:rsidRPr="00BE1360">
              <w:rPr>
                <w:rFonts w:ascii="Calibri" w:eastAsia="Times New Roman" w:hAnsi="Calibri" w:cs="Times New Roman"/>
                <w:color w:val="000000"/>
              </w:rPr>
              <w:t>Pagodatree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High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52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Ulmus</w:t>
            </w:r>
            <w:proofErr w:type="spellEnd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Americana  </w:t>
            </w:r>
            <w:r w:rsidRPr="00BE1360">
              <w:rPr>
                <w:rFonts w:ascii="Calibri" w:eastAsia="Times New Roman" w:hAnsi="Calibri" w:cs="Times New Roman"/>
                <w:color w:val="000000"/>
              </w:rPr>
              <w:t>(DED resistant)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American Elm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there are a number of DED resistant cultivars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Moderate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1360" w:rsidRPr="00BE1360" w:rsidTr="00BE1360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Zelcova</w:t>
            </w:r>
            <w:proofErr w:type="spellEnd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E1360">
              <w:rPr>
                <w:rFonts w:ascii="Calibri" w:eastAsia="Times New Roman" w:hAnsi="Calibri" w:cs="Times New Roman"/>
                <w:i/>
                <w:iCs/>
                <w:color w:val="000000"/>
              </w:rPr>
              <w:t>serrata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E1360">
              <w:rPr>
                <w:rFonts w:ascii="Calibri" w:eastAsia="Times New Roman" w:hAnsi="Calibri" w:cs="Times New Roman"/>
                <w:color w:val="000000"/>
              </w:rPr>
              <w:t>Sawleaf</w:t>
            </w:r>
            <w:proofErr w:type="spellEnd"/>
            <w:r w:rsidRPr="00BE136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E1360">
              <w:rPr>
                <w:rFonts w:ascii="Calibri" w:eastAsia="Times New Roman" w:hAnsi="Calibri" w:cs="Times New Roman"/>
                <w:color w:val="000000"/>
              </w:rPr>
              <w:t>Zelcova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M-L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E1360" w:rsidRPr="00BE1360" w:rsidRDefault="00BE1360" w:rsidP="00BE1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1360">
              <w:rPr>
                <w:rFonts w:ascii="Calibri" w:eastAsia="Times New Roman" w:hAnsi="Calibri" w:cs="Times New Roman"/>
                <w:color w:val="000000"/>
              </w:rPr>
              <w:t>Moderate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BE1360" w:rsidRPr="00BE1360" w:rsidRDefault="00BE1360" w:rsidP="00BE1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E2E44" w:rsidRDefault="00FE2E44" w:rsidP="00081864">
      <w:pPr>
        <w:jc w:val="center"/>
      </w:pPr>
    </w:p>
    <w:p w:rsidR="00081864" w:rsidRDefault="00603E4D">
      <w:r>
        <w:t xml:space="preserve">The above list is from Steve </w:t>
      </w:r>
      <w:r w:rsidR="00BC3DF0">
        <w:t>and Molly Batchelder of SBCA Tree Consulting</w:t>
      </w:r>
      <w:r w:rsidR="002922A0">
        <w:t xml:space="preserve"> and Emeryville’s current tree inventory</w:t>
      </w:r>
      <w:r>
        <w:t>, cross-referenced with the tree GHG calculator (</w:t>
      </w:r>
      <w:proofErr w:type="spellStart"/>
      <w:r>
        <w:t>iTree</w:t>
      </w:r>
      <w:proofErr w:type="spellEnd"/>
      <w:r>
        <w:t>). Low carbon sequesters have been eliminated from the list.</w:t>
      </w:r>
      <w:r w:rsidR="002922A0">
        <w:t xml:space="preserve"> </w:t>
      </w:r>
      <w:r w:rsidR="00BC3DF0">
        <w:t xml:space="preserve">Steve and Molly have gone through the list in March 2016 to update the recommendations for best species to plant in Emeryville. Drought tolerance and compatible growing conditions were prioritized. </w:t>
      </w:r>
      <w:bookmarkStart w:id="0" w:name="_GoBack"/>
      <w:bookmarkEnd w:id="0"/>
    </w:p>
    <w:p w:rsidR="00081864" w:rsidRDefault="002922A0">
      <w:r>
        <w:t xml:space="preserve">Water use ranges from </w:t>
      </w:r>
      <w:r w:rsidR="00081864">
        <w:t>drought tolerant</w:t>
      </w:r>
      <w:r>
        <w:t xml:space="preserve">, low, moderate, </w:t>
      </w:r>
      <w:r w:rsidR="00BC3DF0">
        <w:t xml:space="preserve">and </w:t>
      </w:r>
      <w:r>
        <w:t>high</w:t>
      </w:r>
      <w:r w:rsidR="00081864">
        <w:t>.  Moderate to high water use should be used sparingly and in park settlings with supplemental irrigation.</w:t>
      </w:r>
    </w:p>
    <w:p w:rsidR="002922A0" w:rsidRDefault="00081864">
      <w:r>
        <w:t xml:space="preserve">Stature is tree size at maturity.  S is 20-30’, M is 30-60’, </w:t>
      </w:r>
      <w:r w:rsidR="00BC3DF0">
        <w:t xml:space="preserve">and </w:t>
      </w:r>
      <w:r>
        <w:t xml:space="preserve">L is 60-120’.  These also are correlative with soil volume requirements, where S is 600 cubic feet of rootable soil, M is 900 cubic feet, </w:t>
      </w:r>
      <w:r w:rsidR="00BC3DF0">
        <w:t xml:space="preserve">and </w:t>
      </w:r>
      <w:r>
        <w:t>L is 1200 cubic feet</w:t>
      </w:r>
    </w:p>
    <w:p w:rsidR="00753A36" w:rsidRDefault="00753A36">
      <w:r>
        <w:t>Drought tolerance can be improved by increasing the available soil volume requirements.</w:t>
      </w:r>
    </w:p>
    <w:sectPr w:rsidR="00753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50"/>
    <w:rsid w:val="00081864"/>
    <w:rsid w:val="0025434D"/>
    <w:rsid w:val="002922A0"/>
    <w:rsid w:val="003F1150"/>
    <w:rsid w:val="004C776D"/>
    <w:rsid w:val="005374C5"/>
    <w:rsid w:val="005E0AE9"/>
    <w:rsid w:val="005F1B3A"/>
    <w:rsid w:val="00603E4D"/>
    <w:rsid w:val="00613FB6"/>
    <w:rsid w:val="006A05B1"/>
    <w:rsid w:val="00700380"/>
    <w:rsid w:val="00753A36"/>
    <w:rsid w:val="00B51E27"/>
    <w:rsid w:val="00B86854"/>
    <w:rsid w:val="00BC3DF0"/>
    <w:rsid w:val="00BE1360"/>
    <w:rsid w:val="00C26809"/>
    <w:rsid w:val="00D92DFB"/>
    <w:rsid w:val="00E84151"/>
    <w:rsid w:val="00EE1AC7"/>
    <w:rsid w:val="00F0041A"/>
    <w:rsid w:val="00F73855"/>
    <w:rsid w:val="00F81775"/>
    <w:rsid w:val="00FE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8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8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4B9BEC7D</Template>
  <TotalTime>12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Hoi-Fei Mok</dc:creator>
  <cp:lastModifiedBy>Hoi-Fei Mok</cp:lastModifiedBy>
  <cp:revision>5</cp:revision>
  <dcterms:created xsi:type="dcterms:W3CDTF">2016-03-21T16:11:00Z</dcterms:created>
  <dcterms:modified xsi:type="dcterms:W3CDTF">2016-03-30T16:57:00Z</dcterms:modified>
</cp:coreProperties>
</file>