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7F12E" w14:textId="66465F1B" w:rsidR="0070753C" w:rsidRDefault="0070753C" w:rsidP="009B0BEF">
      <w:pPr>
        <w:pStyle w:val="NoSpacing"/>
        <w:rPr>
          <w:rFonts w:ascii="Arial" w:hAnsi="Arial" w:cs="Arial"/>
          <w:sz w:val="24"/>
          <w:szCs w:val="24"/>
        </w:rPr>
      </w:pPr>
      <w:r w:rsidRPr="009B0BEF">
        <w:rPr>
          <w:rFonts w:ascii="Arial" w:hAnsi="Arial" w:cs="Arial"/>
          <w:b/>
          <w:sz w:val="24"/>
          <w:szCs w:val="24"/>
        </w:rPr>
        <w:t>DATE:</w:t>
      </w:r>
      <w:r w:rsidRPr="009B0BEF">
        <w:rPr>
          <w:rFonts w:ascii="Arial" w:hAnsi="Arial" w:cs="Arial"/>
          <w:sz w:val="24"/>
          <w:szCs w:val="24"/>
        </w:rPr>
        <w:tab/>
      </w:r>
      <w:r w:rsidR="009B78DE" w:rsidRPr="009B0BEF">
        <w:rPr>
          <w:rFonts w:ascii="Arial" w:hAnsi="Arial" w:cs="Arial"/>
          <w:sz w:val="24"/>
          <w:szCs w:val="24"/>
        </w:rPr>
        <w:t>November 1</w:t>
      </w:r>
      <w:r w:rsidR="00A433F4">
        <w:rPr>
          <w:rFonts w:ascii="Arial" w:hAnsi="Arial" w:cs="Arial"/>
          <w:sz w:val="24"/>
          <w:szCs w:val="24"/>
        </w:rPr>
        <w:t>5</w:t>
      </w:r>
      <w:bookmarkStart w:id="0" w:name="_GoBack"/>
      <w:bookmarkEnd w:id="0"/>
      <w:r w:rsidR="009B78DE" w:rsidRPr="009B0BEF">
        <w:rPr>
          <w:rFonts w:ascii="Arial" w:hAnsi="Arial" w:cs="Arial"/>
          <w:sz w:val="24"/>
          <w:szCs w:val="24"/>
        </w:rPr>
        <w:t>, 2016</w:t>
      </w:r>
    </w:p>
    <w:p w14:paraId="2B866BE7" w14:textId="77777777" w:rsidR="009B0BEF" w:rsidRPr="009B0BEF" w:rsidRDefault="009B0BEF" w:rsidP="009B0BEF">
      <w:pPr>
        <w:pStyle w:val="NoSpacing"/>
        <w:rPr>
          <w:rFonts w:ascii="Arial" w:hAnsi="Arial" w:cs="Arial"/>
          <w:b/>
          <w:sz w:val="24"/>
          <w:szCs w:val="24"/>
        </w:rPr>
      </w:pPr>
    </w:p>
    <w:p w14:paraId="2517B948" w14:textId="6B730714" w:rsidR="009B0BEF" w:rsidRDefault="0070753C" w:rsidP="009B0BEF">
      <w:pPr>
        <w:pStyle w:val="NoSpacing"/>
        <w:rPr>
          <w:rFonts w:ascii="Arial" w:hAnsi="Arial" w:cs="Arial"/>
          <w:sz w:val="24"/>
          <w:szCs w:val="24"/>
        </w:rPr>
      </w:pPr>
      <w:r w:rsidRPr="009B0BEF">
        <w:rPr>
          <w:rFonts w:ascii="Arial" w:hAnsi="Arial" w:cs="Arial"/>
          <w:b/>
          <w:sz w:val="24"/>
          <w:szCs w:val="24"/>
        </w:rPr>
        <w:t>TO:</w:t>
      </w:r>
      <w:r w:rsidRPr="009B0BEF">
        <w:rPr>
          <w:rFonts w:ascii="Arial" w:hAnsi="Arial" w:cs="Arial"/>
          <w:sz w:val="24"/>
          <w:szCs w:val="24"/>
        </w:rPr>
        <w:tab/>
      </w:r>
      <w:r w:rsidRPr="009B0BEF">
        <w:rPr>
          <w:rFonts w:ascii="Arial" w:hAnsi="Arial" w:cs="Arial"/>
          <w:sz w:val="24"/>
          <w:szCs w:val="24"/>
        </w:rPr>
        <w:tab/>
      </w:r>
      <w:r w:rsidR="009B78DE" w:rsidRPr="009B0BEF">
        <w:rPr>
          <w:rFonts w:ascii="Arial" w:hAnsi="Arial" w:cs="Arial"/>
          <w:sz w:val="24"/>
          <w:szCs w:val="24"/>
        </w:rPr>
        <w:t>Carolyn Lehr, City Manager</w:t>
      </w:r>
    </w:p>
    <w:p w14:paraId="36E36E25" w14:textId="77777777" w:rsidR="009B0BEF" w:rsidRPr="009B0BEF" w:rsidRDefault="009B0BEF" w:rsidP="009B0BEF">
      <w:pPr>
        <w:pStyle w:val="NoSpacing"/>
        <w:rPr>
          <w:rFonts w:ascii="Arial" w:hAnsi="Arial" w:cs="Arial"/>
          <w:sz w:val="24"/>
          <w:szCs w:val="24"/>
        </w:rPr>
      </w:pPr>
    </w:p>
    <w:p w14:paraId="51A3763C" w14:textId="0EF3E412" w:rsidR="0070753C" w:rsidRDefault="0070753C" w:rsidP="009B0BEF">
      <w:pPr>
        <w:pStyle w:val="NoSpacing"/>
        <w:rPr>
          <w:rFonts w:ascii="Arial" w:hAnsi="Arial" w:cs="Arial"/>
          <w:sz w:val="24"/>
          <w:szCs w:val="24"/>
        </w:rPr>
      </w:pPr>
      <w:r w:rsidRPr="009B0BEF">
        <w:rPr>
          <w:rFonts w:ascii="Arial" w:hAnsi="Arial" w:cs="Arial"/>
          <w:b/>
          <w:sz w:val="24"/>
          <w:szCs w:val="24"/>
        </w:rPr>
        <w:t>FROM:</w:t>
      </w:r>
      <w:r w:rsidRPr="009B0BEF">
        <w:rPr>
          <w:rFonts w:ascii="Arial" w:hAnsi="Arial" w:cs="Arial"/>
          <w:sz w:val="24"/>
          <w:szCs w:val="24"/>
        </w:rPr>
        <w:tab/>
      </w:r>
      <w:r w:rsidR="009B78DE" w:rsidRPr="009B0BEF">
        <w:rPr>
          <w:rFonts w:ascii="Arial" w:hAnsi="Arial" w:cs="Arial"/>
          <w:sz w:val="24"/>
          <w:szCs w:val="24"/>
        </w:rPr>
        <w:t>Maurice Kaufman, Public Works Director</w:t>
      </w:r>
    </w:p>
    <w:p w14:paraId="3D814B53" w14:textId="77777777" w:rsidR="009B0BEF" w:rsidRPr="009B0BEF" w:rsidRDefault="009B0BEF" w:rsidP="009B0BEF">
      <w:pPr>
        <w:pStyle w:val="NoSpacing"/>
        <w:rPr>
          <w:rFonts w:ascii="Arial" w:hAnsi="Arial" w:cs="Arial"/>
          <w:sz w:val="24"/>
          <w:szCs w:val="24"/>
        </w:rPr>
      </w:pPr>
    </w:p>
    <w:p w14:paraId="06FBBC4F" w14:textId="3957FC14" w:rsidR="0070753C" w:rsidRPr="009B0BEF" w:rsidRDefault="0070753C" w:rsidP="009B0BEF">
      <w:pPr>
        <w:ind w:left="1440" w:hanging="1440"/>
        <w:jc w:val="both"/>
        <w:rPr>
          <w:rFonts w:cs="Arial"/>
          <w:b/>
        </w:rPr>
      </w:pPr>
      <w:r w:rsidRPr="009B0BEF">
        <w:rPr>
          <w:b/>
        </w:rPr>
        <w:t>SUBJECT:</w:t>
      </w:r>
      <w:r>
        <w:t xml:space="preserve"> </w:t>
      </w:r>
      <w:r>
        <w:tab/>
      </w:r>
      <w:r w:rsidR="009B0BEF">
        <w:rPr>
          <w:rFonts w:cs="Arial"/>
          <w:b/>
        </w:rPr>
        <w:t xml:space="preserve">Resolution </w:t>
      </w:r>
      <w:proofErr w:type="gramStart"/>
      <w:r w:rsidR="009B0BEF">
        <w:rPr>
          <w:rFonts w:cs="Arial"/>
          <w:b/>
        </w:rPr>
        <w:t>Of</w:t>
      </w:r>
      <w:proofErr w:type="gramEnd"/>
      <w:r w:rsidR="009B0BEF">
        <w:rPr>
          <w:rFonts w:cs="Arial"/>
          <w:b/>
        </w:rPr>
        <w:t xml:space="preserve"> The City Council Of The City Of Emeryville Adopting The City Of Emeryville Climate Action Plan 2.0 And The Climate Action Plan 2.0 Implementation Plan And Goals For 2030 And Authorize The City Manager To Amend Said Implementation Plan As Needed With Developments InTechnology And Or Best Practices</w:t>
      </w:r>
      <w:r w:rsidR="00C24469">
        <w:rPr>
          <w:rFonts w:cs="Arial"/>
          <w:b/>
        </w:rPr>
        <w:t xml:space="preserve">; </w:t>
      </w:r>
      <w:commentRangeStart w:id="1"/>
      <w:r w:rsidR="00C24469">
        <w:rPr>
          <w:rFonts w:cs="Arial"/>
          <w:b/>
        </w:rPr>
        <w:t>CEQA Determination</w:t>
      </w:r>
      <w:commentRangeEnd w:id="1"/>
      <w:r w:rsidR="00C24469">
        <w:rPr>
          <w:rStyle w:val="CommentReference"/>
        </w:rPr>
        <w:commentReference w:id="1"/>
      </w:r>
      <w:r w:rsidR="00C24469">
        <w:rPr>
          <w:rFonts w:cs="Arial"/>
          <w:b/>
        </w:rPr>
        <w:t xml:space="preserve">: </w:t>
      </w:r>
      <w:r w:rsidR="00C071C6">
        <w:rPr>
          <w:rFonts w:cs="Arial"/>
          <w:b/>
        </w:rPr>
        <w:t>Exempt Pursuant To 15307 And 15061(b)3</w:t>
      </w:r>
    </w:p>
    <w:p w14:paraId="0273D461" w14:textId="77777777" w:rsidR="00EC19A4" w:rsidRPr="0070753C" w:rsidRDefault="00CB345D" w:rsidP="009B78DE">
      <w:pPr>
        <w:pStyle w:val="Heading1"/>
      </w:pPr>
      <w:r w:rsidRPr="0070753C">
        <w:t>RECOMMENDATION</w:t>
      </w:r>
    </w:p>
    <w:p w14:paraId="30A75120" w14:textId="77777777" w:rsidR="00F46989" w:rsidRPr="00EC19A4" w:rsidRDefault="00CB4918" w:rsidP="00A433F4">
      <w:pPr>
        <w:jc w:val="both"/>
        <w:rPr>
          <w:rFonts w:cs="Arial"/>
        </w:rPr>
      </w:pPr>
      <w:r>
        <w:rPr>
          <w:rFonts w:cs="Arial"/>
        </w:rPr>
        <w:t xml:space="preserve">Staff recommends that the City Council approves and adopts the Climate Action Plan 2.0. </w:t>
      </w:r>
      <w:r w:rsidR="009B78DE">
        <w:rPr>
          <w:rFonts w:cs="Arial"/>
        </w:rPr>
        <w:t>and the</w:t>
      </w:r>
      <w:r>
        <w:rPr>
          <w:rFonts w:cs="Arial"/>
        </w:rPr>
        <w:t xml:space="preserve"> Climate Action Plan 2.0 Implementation Plan and authorizes staff to </w:t>
      </w:r>
      <w:r w:rsidRPr="00001244">
        <w:rPr>
          <w:rFonts w:cs="Arial"/>
        </w:rPr>
        <w:t xml:space="preserve">amend it as needed in response to local conditions, developments in technology, </w:t>
      </w:r>
      <w:r>
        <w:rPr>
          <w:rFonts w:cs="Arial"/>
        </w:rPr>
        <w:t xml:space="preserve">changes in regulation, resource availability, </w:t>
      </w:r>
      <w:r w:rsidRPr="00001244">
        <w:rPr>
          <w:rFonts w:cs="Arial"/>
        </w:rPr>
        <w:t>or best practices.</w:t>
      </w:r>
      <w:r>
        <w:rPr>
          <w:rFonts w:cs="Arial"/>
        </w:rPr>
        <w:t xml:space="preserve">    </w:t>
      </w:r>
    </w:p>
    <w:p w14:paraId="1DE001D6" w14:textId="77777777" w:rsidR="00EC19A4" w:rsidRPr="0070753C" w:rsidRDefault="00CB345D" w:rsidP="009B78DE">
      <w:pPr>
        <w:pStyle w:val="Heading1"/>
      </w:pPr>
      <w:r w:rsidRPr="0070753C">
        <w:t>BACKGROUND</w:t>
      </w:r>
    </w:p>
    <w:p w14:paraId="35B3249E" w14:textId="77777777" w:rsidR="00CB4918" w:rsidRDefault="00CB4918" w:rsidP="00CB4918">
      <w:pPr>
        <w:jc w:val="both"/>
        <w:rPr>
          <w:rFonts w:cs="Arial"/>
          <w:bCs/>
        </w:rPr>
      </w:pPr>
      <w:r>
        <w:rPr>
          <w:rFonts w:cs="Arial"/>
          <w:bCs/>
        </w:rPr>
        <w:t>Since the City of Emeryville approved its first Climate Action Plan in 2008, there has been significant momentum in the climate change arena. The United Nations Intergovernmental Panel on Climate Change (IPCC) released the Fifth Assessment Report (AR5) on climate change science in 2013. The report indicated that the average global temperature has increased by 0.85 degrees Celsius from 1880 to 2012 and global average sea level has risen by 19 cm from 1901 to 2010</w:t>
      </w:r>
      <w:r>
        <w:rPr>
          <w:rStyle w:val="FootnoteReference"/>
          <w:rFonts w:cs="Arial"/>
          <w:bCs/>
        </w:rPr>
        <w:footnoteReference w:id="1"/>
      </w:r>
      <w:r>
        <w:rPr>
          <w:rFonts w:cs="Arial"/>
          <w:bCs/>
        </w:rPr>
        <w:t xml:space="preserve">. Given the current </w:t>
      </w:r>
      <w:r w:rsidRPr="00001244">
        <w:rPr>
          <w:rFonts w:cs="Arial"/>
          <w:bCs/>
        </w:rPr>
        <w:t xml:space="preserve">atmospheric concentrations of greenhouse gases (GHG), major contributors to climate change, the global temperature is projected to increase by more than </w:t>
      </w:r>
      <w:r>
        <w:rPr>
          <w:rFonts w:cs="Arial"/>
          <w:bCs/>
        </w:rPr>
        <w:t>2</w:t>
      </w:r>
      <w:r w:rsidRPr="00001244">
        <w:rPr>
          <w:rFonts w:cs="Arial"/>
          <w:bCs/>
        </w:rPr>
        <w:t>.5 degrees Celsius by the end of the century</w:t>
      </w:r>
      <w:r>
        <w:rPr>
          <w:rStyle w:val="FootnoteReference"/>
          <w:rFonts w:cs="Arial"/>
          <w:bCs/>
        </w:rPr>
        <w:footnoteReference w:id="2"/>
      </w:r>
      <w:r w:rsidRPr="00001244">
        <w:rPr>
          <w:rFonts w:cs="Arial"/>
          <w:bCs/>
        </w:rPr>
        <w:t>.  This is</w:t>
      </w:r>
      <w:r>
        <w:rPr>
          <w:rFonts w:cs="Arial"/>
          <w:bCs/>
        </w:rPr>
        <w:t xml:space="preserve"> a scenario that will have catastrophic impacts on global agriculture, urban cities, forests, oceans, and other systems. </w:t>
      </w:r>
    </w:p>
    <w:p w14:paraId="34908BE1" w14:textId="77777777" w:rsidR="00CB4918" w:rsidRDefault="00CB4918" w:rsidP="00CB4918">
      <w:pPr>
        <w:jc w:val="both"/>
        <w:rPr>
          <w:rFonts w:cs="Arial"/>
          <w:bCs/>
        </w:rPr>
      </w:pPr>
    </w:p>
    <w:p w14:paraId="2852FF58" w14:textId="77777777" w:rsidR="00CB4918" w:rsidRPr="00735BE0" w:rsidRDefault="00CB4918" w:rsidP="00CB4918">
      <w:pPr>
        <w:jc w:val="both"/>
        <w:rPr>
          <w:rFonts w:cs="Arial"/>
          <w:b/>
          <w:bCs/>
        </w:rPr>
      </w:pPr>
      <w:r>
        <w:rPr>
          <w:rFonts w:cs="Arial"/>
          <w:bCs/>
        </w:rPr>
        <w:t>I</w:t>
      </w:r>
      <w:r w:rsidRPr="00735BE0">
        <w:rPr>
          <w:rFonts w:cs="Arial"/>
          <w:bCs/>
        </w:rPr>
        <w:t xml:space="preserve">n </w:t>
      </w:r>
      <w:r>
        <w:rPr>
          <w:rFonts w:cs="Arial"/>
          <w:bCs/>
        </w:rPr>
        <w:t>December 2015, at the United Nations Climate Change Conference (COP 21) in Paris, France, Parties to the United Nations Framework Convention on Climate Change (UNFCCC)</w:t>
      </w:r>
      <w:r w:rsidRPr="00735BE0">
        <w:rPr>
          <w:rFonts w:cs="Arial"/>
          <w:bCs/>
        </w:rPr>
        <w:t xml:space="preserve"> </w:t>
      </w:r>
      <w:r>
        <w:rPr>
          <w:rFonts w:cs="Arial"/>
          <w:bCs/>
        </w:rPr>
        <w:t xml:space="preserve">reached a historic international agreement to combat climate change and to accelerate and intensify the actions and investments needed for a sustainable, low-carbon future. The Paris Agreement requires all Parties to put forward their best efforts through “nationally determined contributions” (NDCs) to keep the global temperature rise this century at less than 2 degrees Celsius above pre-industrial levels and to pursue efforts to limit the temperature increase even further to 1.5 degrees Celsius. There will </w:t>
      </w:r>
      <w:r>
        <w:rPr>
          <w:rFonts w:cs="Arial"/>
          <w:bCs/>
        </w:rPr>
        <w:lastRenderedPageBreak/>
        <w:t>be a global review of data every five years to assess collective progress towards achieving the purpose of the Paris agreement and to inform further individual actions by Parties. The United States signed on to the Paris Agreement along with 174 other nations on Earth Day, April 22, 2016.</w:t>
      </w:r>
    </w:p>
    <w:p w14:paraId="131AAD2F" w14:textId="77777777" w:rsidR="00CB4918" w:rsidRDefault="00CB4918" w:rsidP="00CB4918">
      <w:pPr>
        <w:rPr>
          <w:rFonts w:cs="Arial"/>
        </w:rPr>
      </w:pPr>
    </w:p>
    <w:p w14:paraId="0172B23B" w14:textId="77777777" w:rsidR="00CB4918" w:rsidRPr="005B4B52" w:rsidRDefault="00CB4918" w:rsidP="00CB4918">
      <w:pPr>
        <w:jc w:val="both"/>
        <w:rPr>
          <w:rFonts w:cs="Arial"/>
          <w:bCs/>
        </w:rPr>
      </w:pPr>
      <w:r>
        <w:rPr>
          <w:rFonts w:cs="Arial"/>
          <w:bCs/>
        </w:rPr>
        <w:t>With the support of President Obama, m</w:t>
      </w:r>
      <w:r w:rsidRPr="00735BE0">
        <w:rPr>
          <w:rFonts w:cs="Arial"/>
          <w:bCs/>
        </w:rPr>
        <w:t xml:space="preserve">ayors from around the </w:t>
      </w:r>
      <w:r>
        <w:rPr>
          <w:rFonts w:cs="Arial"/>
          <w:bCs/>
        </w:rPr>
        <w:t>U.S</w:t>
      </w:r>
      <w:r w:rsidRPr="00735BE0">
        <w:rPr>
          <w:rFonts w:cs="Arial"/>
          <w:bCs/>
        </w:rPr>
        <w:t xml:space="preserve"> signed </w:t>
      </w:r>
      <w:r>
        <w:rPr>
          <w:rFonts w:cs="Arial"/>
          <w:bCs/>
        </w:rPr>
        <w:t xml:space="preserve">on to </w:t>
      </w:r>
      <w:r w:rsidRPr="00735BE0">
        <w:rPr>
          <w:rFonts w:cs="Arial"/>
          <w:bCs/>
        </w:rPr>
        <w:t xml:space="preserve">the </w:t>
      </w:r>
      <w:r>
        <w:rPr>
          <w:rFonts w:cs="Arial"/>
          <w:bCs/>
        </w:rPr>
        <w:t>United Nations’ Compact of Mayors to show city government’s commitment to combatting climate change. The Compact of Mayors provides a common platform for capturing cities’ actions and provides a tool for consistent measurement and public reporting of climate change mitigation and adaptation efforts</w:t>
      </w:r>
      <w:r>
        <w:rPr>
          <w:rStyle w:val="FootnoteReference"/>
          <w:rFonts w:cs="Arial"/>
          <w:bCs/>
        </w:rPr>
        <w:footnoteReference w:id="3"/>
      </w:r>
      <w:r>
        <w:rPr>
          <w:rFonts w:cs="Arial"/>
          <w:bCs/>
        </w:rPr>
        <w:t>. Signatories pledge to reduce CO</w:t>
      </w:r>
      <w:r w:rsidRPr="00001244">
        <w:rPr>
          <w:rFonts w:cs="Arial"/>
          <w:bCs/>
          <w:vertAlign w:val="subscript"/>
        </w:rPr>
        <w:t>2</w:t>
      </w:r>
      <w:r>
        <w:rPr>
          <w:rFonts w:cs="Arial"/>
          <w:bCs/>
        </w:rPr>
        <w:t xml:space="preserve"> emissions by at least 40% by 2030 and to adopt an integrated approach to tackling climate change mitigation and adaptation. T</w:t>
      </w:r>
      <w:r w:rsidRPr="00735BE0">
        <w:rPr>
          <w:rFonts w:cs="Arial"/>
          <w:bCs/>
        </w:rPr>
        <w:t xml:space="preserve">he City of Emeryville </w:t>
      </w:r>
      <w:r>
        <w:rPr>
          <w:rFonts w:cs="Arial"/>
          <w:bCs/>
        </w:rPr>
        <w:t>signed on to the</w:t>
      </w:r>
      <w:r w:rsidRPr="00735BE0">
        <w:rPr>
          <w:rFonts w:cs="Arial"/>
          <w:bCs/>
        </w:rPr>
        <w:t xml:space="preserve"> </w:t>
      </w:r>
      <w:r>
        <w:rPr>
          <w:rFonts w:cs="Arial"/>
          <w:bCs/>
        </w:rPr>
        <w:t xml:space="preserve">Compact of Mayors in November 2015, to show its commitment to climate change mitigation and adaptation. Compliance with the Compact of Mayors requires a recent GHG emissions inventory, </w:t>
      </w:r>
      <w:r>
        <w:rPr>
          <w:rFonts w:cs="Arial"/>
        </w:rPr>
        <w:t xml:space="preserve">a GHG reduction target, a climate mitigation action plan, climate hazard reporting, </w:t>
      </w:r>
      <w:r w:rsidRPr="004A4901">
        <w:rPr>
          <w:rFonts w:cs="Arial"/>
        </w:rPr>
        <w:t xml:space="preserve">a climate change vulnerability assessment, and a climate </w:t>
      </w:r>
      <w:r>
        <w:rPr>
          <w:rFonts w:cs="Arial"/>
        </w:rPr>
        <w:t>adaptation action plan within three years of signing on to the agreement.</w:t>
      </w:r>
      <w:r>
        <w:rPr>
          <w:rFonts w:cs="Arial"/>
          <w:bCs/>
        </w:rPr>
        <w:t xml:space="preserve"> Recently the Compact of Mayors merged with the European Union’s Covenant of Mayors to form the new Global Covenant of Mayors for Climate and Energy</w:t>
      </w:r>
      <w:r>
        <w:rPr>
          <w:rStyle w:val="FootnoteReference"/>
          <w:rFonts w:cs="Arial"/>
          <w:bCs/>
        </w:rPr>
        <w:footnoteReference w:id="4"/>
      </w:r>
      <w:r>
        <w:rPr>
          <w:rFonts w:cs="Arial"/>
          <w:bCs/>
        </w:rPr>
        <w:t xml:space="preserve">. All signatories to either agreement are part of this new Global Covenant of Mayors.  </w:t>
      </w:r>
    </w:p>
    <w:p w14:paraId="282C1FDB" w14:textId="77777777" w:rsidR="00CB4918" w:rsidRDefault="00CB4918" w:rsidP="00CB4918">
      <w:pPr>
        <w:jc w:val="both"/>
        <w:rPr>
          <w:rFonts w:cs="Arial"/>
          <w:b/>
          <w:bCs/>
        </w:rPr>
      </w:pPr>
    </w:p>
    <w:p w14:paraId="3FCEE4A9" w14:textId="77777777" w:rsidR="00CB4918" w:rsidRDefault="00CB4918" w:rsidP="00770384">
      <w:pPr>
        <w:jc w:val="both"/>
        <w:rPr>
          <w:rFonts w:cs="Arial"/>
          <w:bCs/>
        </w:rPr>
      </w:pPr>
      <w:r>
        <w:rPr>
          <w:rFonts w:cs="Arial"/>
          <w:bCs/>
        </w:rPr>
        <w:t>At the state level, ambitious targets have been set for climate mitigation. I</w:t>
      </w:r>
      <w:r w:rsidRPr="00735BE0">
        <w:rPr>
          <w:rFonts w:cs="Arial"/>
          <w:bCs/>
        </w:rPr>
        <w:t>n</w:t>
      </w:r>
      <w:r>
        <w:rPr>
          <w:rFonts w:cs="Arial"/>
          <w:bCs/>
        </w:rPr>
        <w:t xml:space="preserve"> April 2015, </w:t>
      </w:r>
      <w:r w:rsidRPr="004D39A0">
        <w:rPr>
          <w:rFonts w:cs="Arial"/>
        </w:rPr>
        <w:t xml:space="preserve">California Governor Jerry Brown issued Executive Order B-30-15, which built upon Governor Arnold Schwarzenegger’s Executive Order S-3-05, to set a statewide target </w:t>
      </w:r>
      <w:r>
        <w:rPr>
          <w:rFonts w:cs="Arial"/>
        </w:rPr>
        <w:t xml:space="preserve">for </w:t>
      </w:r>
      <w:r w:rsidRPr="004D39A0">
        <w:rPr>
          <w:rFonts w:cs="Arial"/>
        </w:rPr>
        <w:t>reducing GHG emissions to 40% below 1990 levels by 2030 and 80% below 1990 levels by 2050</w:t>
      </w:r>
      <w:r>
        <w:rPr>
          <w:rFonts w:cs="Arial"/>
          <w:bCs/>
        </w:rPr>
        <w:t>. This Executive Order was signed into law as SB 32 in September 2016.  In October, 2015, California Senate Bill 350 was approved; it</w:t>
      </w:r>
      <w:r w:rsidRPr="004D39A0">
        <w:rPr>
          <w:rFonts w:cs="Arial"/>
        </w:rPr>
        <w:t xml:space="preserve"> aims to increase retail sale of renewable electricity to 50% and double energy efficiency savings in electricity and natural gas end uses by 2030</w:t>
      </w:r>
      <w:r>
        <w:rPr>
          <w:rFonts w:cs="Arial"/>
          <w:bCs/>
        </w:rPr>
        <w:t>.</w:t>
      </w:r>
    </w:p>
    <w:p w14:paraId="7F26ED09" w14:textId="77777777" w:rsidR="00CB4918" w:rsidRDefault="00CB4918" w:rsidP="00CB4918">
      <w:pPr>
        <w:rPr>
          <w:rFonts w:cs="Arial"/>
          <w:bCs/>
        </w:rPr>
      </w:pPr>
    </w:p>
    <w:p w14:paraId="13607F4A" w14:textId="77777777" w:rsidR="00CB4918" w:rsidRPr="00C74F2A" w:rsidRDefault="00CB4918" w:rsidP="00CB4918">
      <w:pPr>
        <w:rPr>
          <w:rFonts w:cs="Arial"/>
          <w:b/>
        </w:rPr>
      </w:pPr>
      <w:r>
        <w:rPr>
          <w:rFonts w:cs="Arial"/>
          <w:b/>
        </w:rPr>
        <w:t>DISCUSSION</w:t>
      </w:r>
    </w:p>
    <w:p w14:paraId="77FFE7A9" w14:textId="77777777" w:rsidR="00CB4918" w:rsidRDefault="00CB4918" w:rsidP="00CB4918">
      <w:pPr>
        <w:rPr>
          <w:rFonts w:cs="Arial"/>
          <w:highlight w:val="yellow"/>
        </w:rPr>
      </w:pPr>
    </w:p>
    <w:p w14:paraId="2F673DED" w14:textId="77777777" w:rsidR="00CB4918" w:rsidRPr="00993AE9" w:rsidRDefault="00CB4918" w:rsidP="00770384">
      <w:pPr>
        <w:jc w:val="both"/>
        <w:rPr>
          <w:rFonts w:cs="Arial"/>
          <w:highlight w:val="yellow"/>
        </w:rPr>
      </w:pPr>
      <w:r w:rsidRPr="00993AE9">
        <w:rPr>
          <w:rFonts w:cs="Arial"/>
        </w:rPr>
        <w:t xml:space="preserve">The goal of updating </w:t>
      </w:r>
      <w:r>
        <w:rPr>
          <w:rFonts w:cs="Arial"/>
        </w:rPr>
        <w:t>Emeryville’s</w:t>
      </w:r>
      <w:r w:rsidRPr="00993AE9">
        <w:rPr>
          <w:rFonts w:cs="Arial"/>
        </w:rPr>
        <w:t xml:space="preserve"> Climate Action Plan (CAP) </w:t>
      </w:r>
      <w:r>
        <w:rPr>
          <w:rFonts w:cs="Arial"/>
        </w:rPr>
        <w:t>i</w:t>
      </w:r>
      <w:r w:rsidRPr="00993AE9">
        <w:rPr>
          <w:rFonts w:cs="Arial"/>
        </w:rPr>
        <w:t xml:space="preserve">s to comply with the Global Covenant of Mayors initiatives and to incorporate the new state mitigation targets, while also addressing </w:t>
      </w:r>
      <w:r>
        <w:rPr>
          <w:rFonts w:cs="Arial"/>
        </w:rPr>
        <w:t xml:space="preserve">the opportunities afforded by </w:t>
      </w:r>
      <w:r w:rsidRPr="00993AE9">
        <w:rPr>
          <w:rFonts w:cs="Arial"/>
        </w:rPr>
        <w:t xml:space="preserve">rapidly-evolving technology. To achieve this goal, the City of Emeryville participated in the Governor’s Initiative program, </w:t>
      </w:r>
      <w:proofErr w:type="spellStart"/>
      <w:r w:rsidRPr="00993AE9">
        <w:rPr>
          <w:rFonts w:cs="Arial"/>
        </w:rPr>
        <w:t>CivicSpark</w:t>
      </w:r>
      <w:proofErr w:type="spellEnd"/>
      <w:r w:rsidRPr="00993AE9">
        <w:rPr>
          <w:rFonts w:cs="Arial"/>
        </w:rPr>
        <w:t xml:space="preserve"> AmeriCorps, and hired </w:t>
      </w:r>
      <w:r>
        <w:rPr>
          <w:rFonts w:cs="Arial"/>
        </w:rPr>
        <w:t>a</w:t>
      </w:r>
      <w:r w:rsidRPr="00993AE9">
        <w:rPr>
          <w:rFonts w:cs="Arial"/>
        </w:rPr>
        <w:t xml:space="preserve"> </w:t>
      </w:r>
      <w:proofErr w:type="spellStart"/>
      <w:r w:rsidRPr="00993AE9">
        <w:rPr>
          <w:rFonts w:cs="Arial"/>
        </w:rPr>
        <w:t>CivicSpark</w:t>
      </w:r>
      <w:proofErr w:type="spellEnd"/>
      <w:r w:rsidRPr="00993AE9">
        <w:rPr>
          <w:rFonts w:cs="Arial"/>
        </w:rPr>
        <w:t xml:space="preserve"> Fellow to increase staff capacity around climate change projects. The </w:t>
      </w:r>
      <w:proofErr w:type="spellStart"/>
      <w:r w:rsidRPr="00993AE9">
        <w:rPr>
          <w:rFonts w:cs="Arial"/>
        </w:rPr>
        <w:t>CivicSpark</w:t>
      </w:r>
      <w:proofErr w:type="spellEnd"/>
      <w:r w:rsidRPr="00993AE9">
        <w:rPr>
          <w:rFonts w:cs="Arial"/>
        </w:rPr>
        <w:t xml:space="preserve"> Fellow focused primarily on developing the CAP 2.0, which included conducting community and municipal GHG inventories</w:t>
      </w:r>
      <w:r>
        <w:rPr>
          <w:rFonts w:cs="Arial"/>
        </w:rPr>
        <w:t>, doing community outreach on climate mitigation and adaptation issues, researching new technologies and best practices,</w:t>
      </w:r>
      <w:r w:rsidRPr="00993AE9">
        <w:rPr>
          <w:rFonts w:cs="Arial"/>
        </w:rPr>
        <w:t xml:space="preserve"> and completing </w:t>
      </w:r>
      <w:r>
        <w:rPr>
          <w:rFonts w:cs="Arial"/>
        </w:rPr>
        <w:t xml:space="preserve">a Sustainability Action Plan through participation, along with other City staff, in </w:t>
      </w:r>
      <w:r w:rsidRPr="00993AE9">
        <w:rPr>
          <w:rFonts w:cs="Arial"/>
        </w:rPr>
        <w:t>the REV Sustainability Circle</w:t>
      </w:r>
      <w:r>
        <w:rPr>
          <w:rFonts w:cs="Arial"/>
        </w:rPr>
        <w:t>, a peer-based learning program</w:t>
      </w:r>
      <w:r w:rsidRPr="00993AE9">
        <w:rPr>
          <w:rFonts w:cs="Arial"/>
        </w:rPr>
        <w:t xml:space="preserve">. </w:t>
      </w:r>
    </w:p>
    <w:p w14:paraId="26BF6692" w14:textId="77777777" w:rsidR="00CB4918" w:rsidRDefault="00CB4918" w:rsidP="00CB4918">
      <w:pPr>
        <w:rPr>
          <w:rFonts w:cs="Arial"/>
        </w:rPr>
      </w:pPr>
    </w:p>
    <w:p w14:paraId="17CEAEBB" w14:textId="77777777" w:rsidR="00CB4918" w:rsidRPr="005C3E23" w:rsidRDefault="00CB4918" w:rsidP="00770384">
      <w:pPr>
        <w:jc w:val="both"/>
        <w:rPr>
          <w:rFonts w:cs="Arial"/>
        </w:rPr>
      </w:pPr>
      <w:r>
        <w:rPr>
          <w:rFonts w:cs="Arial"/>
        </w:rPr>
        <w:lastRenderedPageBreak/>
        <w:t>C</w:t>
      </w:r>
      <w:r w:rsidRPr="005C3E23">
        <w:rPr>
          <w:rFonts w:cs="Arial"/>
        </w:rPr>
        <w:t xml:space="preserve">ommunity and municipal GHG inventories </w:t>
      </w:r>
      <w:r>
        <w:rPr>
          <w:rFonts w:cs="Arial"/>
        </w:rPr>
        <w:t xml:space="preserve">with the most recent available data </w:t>
      </w:r>
      <w:r w:rsidRPr="005C3E23">
        <w:rPr>
          <w:rFonts w:cs="Arial"/>
        </w:rPr>
        <w:t xml:space="preserve">were completed at the end of April 2016 and uploaded to both the CDP and </w:t>
      </w:r>
      <w:proofErr w:type="spellStart"/>
      <w:r w:rsidRPr="005C3E23">
        <w:rPr>
          <w:rFonts w:cs="Arial"/>
        </w:rPr>
        <w:t>Carbon</w:t>
      </w:r>
      <w:r w:rsidRPr="005C3E23">
        <w:rPr>
          <w:rFonts w:cs="Arial"/>
          <w:i/>
        </w:rPr>
        <w:t>n</w:t>
      </w:r>
      <w:proofErr w:type="spellEnd"/>
      <w:r w:rsidRPr="005C3E23">
        <w:rPr>
          <w:rFonts w:cs="Arial"/>
        </w:rPr>
        <w:t xml:space="preserve"> online platforms to comply with the Global Covenant of Mayors reporting</w:t>
      </w:r>
      <w:r>
        <w:rPr>
          <w:rFonts w:cs="Arial"/>
        </w:rPr>
        <w:t xml:space="preserve"> requirements</w:t>
      </w:r>
      <w:r w:rsidRPr="005C3E23">
        <w:rPr>
          <w:rFonts w:cs="Arial"/>
        </w:rPr>
        <w:t xml:space="preserve">. Due to the City of Emeryville’s uniquely small land area and </w:t>
      </w:r>
      <w:r>
        <w:rPr>
          <w:rFonts w:cs="Arial"/>
        </w:rPr>
        <w:t xml:space="preserve">the </w:t>
      </w:r>
      <w:r w:rsidRPr="005C3E23">
        <w:rPr>
          <w:rFonts w:cs="Arial"/>
        </w:rPr>
        <w:t xml:space="preserve">high proportion of state highways in the Bay Area, total GHG emissions data with </w:t>
      </w:r>
      <w:r>
        <w:rPr>
          <w:rFonts w:cs="Arial"/>
        </w:rPr>
        <w:t xml:space="preserve">traffic from </w:t>
      </w:r>
      <w:r w:rsidRPr="005C3E23">
        <w:rPr>
          <w:rFonts w:cs="Arial"/>
        </w:rPr>
        <w:t>state highways included can hide the results of loc</w:t>
      </w:r>
      <w:r w:rsidR="00770384">
        <w:rPr>
          <w:rFonts w:cs="Arial"/>
        </w:rPr>
        <w:t>al traffic mitigation efforts, t</w:t>
      </w:r>
      <w:r w:rsidRPr="005C3E23">
        <w:rPr>
          <w:rFonts w:cs="Arial"/>
        </w:rPr>
        <w:t xml:space="preserve">herefore, it was useful to look at an alternative GHG emission total with local traffic only, for the purpose of analyzing the effectiveness of local mitigation strategies. Results from both total traffic and local traffic scenarios </w:t>
      </w:r>
      <w:r>
        <w:rPr>
          <w:rFonts w:cs="Arial"/>
        </w:rPr>
        <w:t>are</w:t>
      </w:r>
      <w:r w:rsidRPr="005C3E23">
        <w:rPr>
          <w:rFonts w:cs="Arial"/>
        </w:rPr>
        <w:t xml:space="preserve"> reported in the CAP 2.0</w:t>
      </w:r>
      <w:r>
        <w:rPr>
          <w:rFonts w:cs="Arial"/>
        </w:rPr>
        <w:t>, and will be tracked over time,</w:t>
      </w:r>
      <w:r w:rsidRPr="005C3E23">
        <w:rPr>
          <w:rFonts w:cs="Arial"/>
        </w:rPr>
        <w:t xml:space="preserve"> while only the total traffic scenario results were included for the Global Covenant of Mayors reporting. </w:t>
      </w:r>
    </w:p>
    <w:p w14:paraId="6F11FE8B" w14:textId="77777777" w:rsidR="00CB4918" w:rsidRDefault="00CB4918" w:rsidP="00770384">
      <w:pPr>
        <w:jc w:val="both"/>
        <w:rPr>
          <w:rFonts w:cs="Arial"/>
        </w:rPr>
      </w:pPr>
    </w:p>
    <w:p w14:paraId="205F06B2" w14:textId="77777777" w:rsidR="00CB4918" w:rsidRDefault="00CB4918" w:rsidP="00770384">
      <w:pPr>
        <w:pStyle w:val="NoSpacing"/>
        <w:jc w:val="both"/>
        <w:rPr>
          <w:rFonts w:ascii="Arial" w:hAnsi="Arial" w:cs="Arial"/>
          <w:sz w:val="24"/>
          <w:szCs w:val="24"/>
        </w:rPr>
      </w:pPr>
      <w:r>
        <w:rPr>
          <w:rFonts w:ascii="Arial" w:hAnsi="Arial" w:cs="Arial"/>
          <w:sz w:val="24"/>
          <w:szCs w:val="24"/>
        </w:rPr>
        <w:t>As seen in Table 1, t</w:t>
      </w:r>
      <w:r w:rsidRPr="005B083E">
        <w:rPr>
          <w:rFonts w:ascii="Arial" w:hAnsi="Arial" w:cs="Arial"/>
          <w:sz w:val="24"/>
          <w:szCs w:val="24"/>
        </w:rPr>
        <w:t>here was a 7.49% decrease in overall community emissions in comparison to baseline 2004 levels when excluding pass-thru traffic on state highways</w:t>
      </w:r>
      <w:r>
        <w:rPr>
          <w:rFonts w:ascii="Arial" w:hAnsi="Arial" w:cs="Arial"/>
          <w:sz w:val="24"/>
          <w:szCs w:val="24"/>
        </w:rPr>
        <w:t xml:space="preserve">.  At a per-capita level, there was an 18.15% reduction in total per-capita emissions for the all-traffic scenario and 30.31% reduction for the local traffic only scenario, as seen in Table 2. This indicates that the City of Emeryville is on the right track for GHG emissions reductions, but more drastic action must be taken to reach the ambitious state targets for 2030 and 2050. Table 3 shows the emissions from municipal operations; those emissions have decreased 7.29% from the earliest complete inventory, in 2010.  </w:t>
      </w:r>
    </w:p>
    <w:p w14:paraId="7890993A" w14:textId="77777777" w:rsidR="00CB4918" w:rsidRDefault="00CB4918" w:rsidP="00CB4918">
      <w:pPr>
        <w:pStyle w:val="NoSpacing"/>
        <w:rPr>
          <w:rFonts w:ascii="Arial" w:hAnsi="Arial" w:cs="Arial"/>
          <w:sz w:val="24"/>
          <w:szCs w:val="24"/>
        </w:rPr>
      </w:pPr>
    </w:p>
    <w:p w14:paraId="5E53399C" w14:textId="77777777" w:rsidR="00CB4918" w:rsidRPr="009B5817" w:rsidRDefault="00CB4918" w:rsidP="00CB4918">
      <w:pPr>
        <w:pStyle w:val="NoSpacing"/>
        <w:rPr>
          <w:rFonts w:ascii="Arial" w:hAnsi="Arial" w:cs="Arial"/>
          <w:sz w:val="20"/>
          <w:szCs w:val="20"/>
        </w:rPr>
      </w:pPr>
      <w:r w:rsidRPr="009B5817">
        <w:rPr>
          <w:rFonts w:ascii="Arial" w:hAnsi="Arial" w:cs="Arial"/>
          <w:b/>
          <w:sz w:val="20"/>
          <w:szCs w:val="20"/>
        </w:rPr>
        <w:t>Table 1: Community GHG Emissions by Sector from 2004 and 2014.</w:t>
      </w:r>
      <w:r w:rsidRPr="009B5817">
        <w:rPr>
          <w:rFonts w:ascii="Arial" w:hAnsi="Arial" w:cs="Arial"/>
          <w:sz w:val="20"/>
          <w:szCs w:val="20"/>
        </w:rPr>
        <w:t xml:space="preserve"> All emissions are reported in metric tons of CO</w:t>
      </w:r>
      <w:r w:rsidRPr="009B5817">
        <w:rPr>
          <w:rFonts w:ascii="Arial" w:hAnsi="Arial" w:cs="Arial"/>
          <w:sz w:val="20"/>
          <w:szCs w:val="20"/>
          <w:vertAlign w:val="subscript"/>
        </w:rPr>
        <w:t>2</w:t>
      </w:r>
      <w:r>
        <w:rPr>
          <w:rFonts w:ascii="Arial" w:hAnsi="Arial" w:cs="Arial"/>
          <w:sz w:val="20"/>
          <w:szCs w:val="20"/>
        </w:rPr>
        <w:t xml:space="preserve"> equivalent (</w:t>
      </w:r>
      <w:r w:rsidRPr="00000A0D">
        <w:rPr>
          <w:rFonts w:ascii="Arial" w:hAnsi="Arial" w:cs="Arial"/>
          <w:bCs/>
          <w:sz w:val="20"/>
          <w:szCs w:val="20"/>
        </w:rPr>
        <w:t>CO</w:t>
      </w:r>
      <w:r w:rsidRPr="00000A0D">
        <w:rPr>
          <w:rFonts w:ascii="Arial" w:hAnsi="Arial" w:cs="Arial"/>
          <w:bCs/>
          <w:sz w:val="20"/>
          <w:szCs w:val="20"/>
          <w:vertAlign w:val="subscript"/>
        </w:rPr>
        <w:t>2</w:t>
      </w:r>
      <w:r w:rsidRPr="00000A0D">
        <w:rPr>
          <w:rFonts w:ascii="Arial" w:hAnsi="Arial" w:cs="Arial"/>
          <w:bCs/>
          <w:sz w:val="20"/>
          <w:szCs w:val="20"/>
        </w:rPr>
        <w:t>e</w:t>
      </w:r>
      <w:r>
        <w:rPr>
          <w:rFonts w:ascii="Arial" w:hAnsi="Arial" w:cs="Arial"/>
          <w:bCs/>
          <w:sz w:val="20"/>
          <w:szCs w:val="20"/>
        </w:rPr>
        <w:t>)</w:t>
      </w:r>
      <w:r w:rsidRPr="009B5817">
        <w:rPr>
          <w:rFonts w:ascii="Arial" w:hAnsi="Arial" w:cs="Arial"/>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1610"/>
        <w:gridCol w:w="1707"/>
        <w:gridCol w:w="2044"/>
        <w:gridCol w:w="1012"/>
        <w:gridCol w:w="969"/>
        <w:gridCol w:w="1178"/>
      </w:tblGrid>
      <w:tr w:rsidR="00CB4918" w:rsidRPr="009B5817" w14:paraId="5FDC400D" w14:textId="77777777" w:rsidTr="00CB5DED">
        <w:trPr>
          <w:jc w:val="center"/>
        </w:trPr>
        <w:tc>
          <w:tcPr>
            <w:tcW w:w="5000" w:type="pct"/>
            <w:gridSpan w:val="7"/>
            <w:shd w:val="clear" w:color="auto" w:fill="D9D9D9"/>
            <w:vAlign w:val="center"/>
          </w:tcPr>
          <w:p w14:paraId="39D5F31C" w14:textId="77777777" w:rsidR="00CB4918" w:rsidRPr="009B5817" w:rsidRDefault="00CB4918" w:rsidP="00CB5DED">
            <w:pPr>
              <w:jc w:val="center"/>
              <w:rPr>
                <w:rFonts w:cs="Arial"/>
                <w:b/>
                <w:bCs/>
                <w:sz w:val="20"/>
              </w:rPr>
            </w:pPr>
            <w:r w:rsidRPr="009B5817">
              <w:rPr>
                <w:rFonts w:cs="Arial"/>
                <w:b/>
                <w:bCs/>
                <w:sz w:val="20"/>
              </w:rPr>
              <w:t>All Traffic</w:t>
            </w:r>
            <w:r>
              <w:rPr>
                <w:rFonts w:cs="Arial"/>
                <w:b/>
                <w:bCs/>
                <w:sz w:val="20"/>
              </w:rPr>
              <w:t xml:space="preserve"> (CO</w:t>
            </w:r>
            <w:r w:rsidRPr="00FF4A3F">
              <w:rPr>
                <w:rFonts w:cs="Arial"/>
                <w:b/>
                <w:bCs/>
                <w:sz w:val="20"/>
                <w:vertAlign w:val="subscript"/>
              </w:rPr>
              <w:t>2e</w:t>
            </w:r>
            <w:r>
              <w:rPr>
                <w:rFonts w:cs="Arial"/>
                <w:b/>
                <w:bCs/>
                <w:sz w:val="20"/>
              </w:rPr>
              <w:t xml:space="preserve"> metric tons)</w:t>
            </w:r>
          </w:p>
        </w:tc>
      </w:tr>
      <w:tr w:rsidR="00CB4918" w:rsidRPr="009B5817" w14:paraId="42E16689" w14:textId="77777777" w:rsidTr="00CB5DED">
        <w:trPr>
          <w:jc w:val="center"/>
        </w:trPr>
        <w:tc>
          <w:tcPr>
            <w:tcW w:w="444" w:type="pct"/>
            <w:tcBorders>
              <w:bottom w:val="single" w:sz="4" w:space="0" w:color="auto"/>
            </w:tcBorders>
            <w:vAlign w:val="center"/>
          </w:tcPr>
          <w:p w14:paraId="1F922C7C" w14:textId="77777777" w:rsidR="00CB4918" w:rsidRPr="009B5817" w:rsidRDefault="00CB4918" w:rsidP="00CB5DED">
            <w:pPr>
              <w:jc w:val="center"/>
              <w:rPr>
                <w:rFonts w:cs="Arial"/>
                <w:b/>
                <w:sz w:val="20"/>
              </w:rPr>
            </w:pPr>
            <w:r w:rsidRPr="009B5817">
              <w:rPr>
                <w:rFonts w:cs="Arial"/>
                <w:b/>
                <w:sz w:val="20"/>
              </w:rPr>
              <w:t>Year</w:t>
            </w:r>
          </w:p>
        </w:tc>
        <w:tc>
          <w:tcPr>
            <w:tcW w:w="861" w:type="pct"/>
            <w:tcBorders>
              <w:bottom w:val="single" w:sz="4" w:space="0" w:color="auto"/>
            </w:tcBorders>
            <w:vAlign w:val="center"/>
          </w:tcPr>
          <w:p w14:paraId="45C14AE4" w14:textId="77777777" w:rsidR="00CB4918" w:rsidRPr="009B5817" w:rsidRDefault="00CB4918" w:rsidP="00CB5DED">
            <w:pPr>
              <w:jc w:val="center"/>
              <w:rPr>
                <w:rFonts w:cs="Arial"/>
                <w:b/>
                <w:bCs/>
                <w:sz w:val="20"/>
              </w:rPr>
            </w:pPr>
            <w:r w:rsidRPr="009B5817">
              <w:rPr>
                <w:rFonts w:cs="Arial"/>
                <w:b/>
                <w:bCs/>
                <w:sz w:val="20"/>
              </w:rPr>
              <w:t>Residential</w:t>
            </w:r>
          </w:p>
        </w:tc>
        <w:tc>
          <w:tcPr>
            <w:tcW w:w="913" w:type="pct"/>
            <w:tcBorders>
              <w:bottom w:val="single" w:sz="4" w:space="0" w:color="auto"/>
            </w:tcBorders>
            <w:vAlign w:val="center"/>
          </w:tcPr>
          <w:p w14:paraId="2362EF5C" w14:textId="77777777" w:rsidR="00CB4918" w:rsidRPr="009B5817" w:rsidRDefault="00CB4918" w:rsidP="00CB5DED">
            <w:pPr>
              <w:jc w:val="center"/>
              <w:rPr>
                <w:rFonts w:cs="Arial"/>
                <w:b/>
                <w:bCs/>
                <w:sz w:val="20"/>
              </w:rPr>
            </w:pPr>
            <w:r w:rsidRPr="009B5817">
              <w:rPr>
                <w:rFonts w:cs="Arial"/>
                <w:b/>
                <w:bCs/>
                <w:sz w:val="20"/>
              </w:rPr>
              <w:t>Commercial</w:t>
            </w:r>
          </w:p>
        </w:tc>
        <w:tc>
          <w:tcPr>
            <w:tcW w:w="1093" w:type="pct"/>
            <w:tcBorders>
              <w:bottom w:val="single" w:sz="4" w:space="0" w:color="auto"/>
            </w:tcBorders>
            <w:vAlign w:val="center"/>
          </w:tcPr>
          <w:p w14:paraId="258570CB" w14:textId="77777777" w:rsidR="00CB4918" w:rsidRPr="009B5817" w:rsidRDefault="00CB4918" w:rsidP="00CB5DED">
            <w:pPr>
              <w:jc w:val="center"/>
              <w:rPr>
                <w:rFonts w:cs="Arial"/>
                <w:b/>
                <w:bCs/>
                <w:sz w:val="20"/>
              </w:rPr>
            </w:pPr>
            <w:r w:rsidRPr="009B5817">
              <w:rPr>
                <w:rFonts w:cs="Arial"/>
                <w:b/>
                <w:bCs/>
                <w:sz w:val="20"/>
              </w:rPr>
              <w:t>Transportation</w:t>
            </w:r>
          </w:p>
        </w:tc>
        <w:tc>
          <w:tcPr>
            <w:tcW w:w="541" w:type="pct"/>
            <w:tcBorders>
              <w:bottom w:val="single" w:sz="4" w:space="0" w:color="auto"/>
            </w:tcBorders>
            <w:vAlign w:val="center"/>
          </w:tcPr>
          <w:p w14:paraId="0B44E375" w14:textId="77777777" w:rsidR="00CB4918" w:rsidRPr="009B5817" w:rsidRDefault="00CB4918" w:rsidP="00CB5DED">
            <w:pPr>
              <w:jc w:val="center"/>
              <w:rPr>
                <w:rFonts w:cs="Arial"/>
                <w:b/>
                <w:bCs/>
                <w:sz w:val="20"/>
              </w:rPr>
            </w:pPr>
            <w:r w:rsidRPr="009B5817">
              <w:rPr>
                <w:rFonts w:cs="Arial"/>
                <w:b/>
                <w:bCs/>
                <w:sz w:val="20"/>
              </w:rPr>
              <w:t>Waste</w:t>
            </w:r>
          </w:p>
        </w:tc>
        <w:tc>
          <w:tcPr>
            <w:tcW w:w="518" w:type="pct"/>
            <w:tcBorders>
              <w:bottom w:val="single" w:sz="4" w:space="0" w:color="auto"/>
            </w:tcBorders>
            <w:vAlign w:val="center"/>
          </w:tcPr>
          <w:p w14:paraId="6CD6AC75" w14:textId="77777777" w:rsidR="00CB4918" w:rsidRPr="009B5817" w:rsidRDefault="00CB4918" w:rsidP="00CB5DED">
            <w:pPr>
              <w:jc w:val="center"/>
              <w:rPr>
                <w:rFonts w:cs="Arial"/>
                <w:b/>
                <w:bCs/>
                <w:sz w:val="20"/>
              </w:rPr>
            </w:pPr>
            <w:r w:rsidRPr="009B5817">
              <w:rPr>
                <w:rFonts w:cs="Arial"/>
                <w:b/>
                <w:bCs/>
                <w:sz w:val="20"/>
              </w:rPr>
              <w:t>Water</w:t>
            </w:r>
          </w:p>
        </w:tc>
        <w:tc>
          <w:tcPr>
            <w:tcW w:w="630" w:type="pct"/>
            <w:tcBorders>
              <w:bottom w:val="single" w:sz="4" w:space="0" w:color="auto"/>
            </w:tcBorders>
            <w:vAlign w:val="center"/>
          </w:tcPr>
          <w:p w14:paraId="02A3041C" w14:textId="77777777" w:rsidR="00CB4918" w:rsidRPr="009B5817" w:rsidRDefault="00CB4918" w:rsidP="00CB5DED">
            <w:pPr>
              <w:jc w:val="center"/>
              <w:rPr>
                <w:rFonts w:cs="Arial"/>
                <w:b/>
                <w:bCs/>
                <w:sz w:val="20"/>
              </w:rPr>
            </w:pPr>
            <w:r w:rsidRPr="009B5817">
              <w:rPr>
                <w:rFonts w:cs="Arial"/>
                <w:b/>
                <w:bCs/>
                <w:sz w:val="20"/>
              </w:rPr>
              <w:t>TOTAL</w:t>
            </w:r>
          </w:p>
        </w:tc>
      </w:tr>
      <w:tr w:rsidR="00CB4918" w:rsidRPr="009B5817" w14:paraId="650EC1B5" w14:textId="77777777" w:rsidTr="00CB5DED">
        <w:trPr>
          <w:jc w:val="center"/>
        </w:trPr>
        <w:tc>
          <w:tcPr>
            <w:tcW w:w="444" w:type="pct"/>
            <w:shd w:val="clear" w:color="auto" w:fill="F2F2F2"/>
            <w:vAlign w:val="center"/>
          </w:tcPr>
          <w:p w14:paraId="5C2770BC" w14:textId="77777777" w:rsidR="00CB4918" w:rsidRPr="009B5817" w:rsidRDefault="00CB4918" w:rsidP="00CB5DED">
            <w:pPr>
              <w:jc w:val="center"/>
              <w:rPr>
                <w:rFonts w:cs="Arial"/>
                <w:bCs/>
                <w:sz w:val="20"/>
              </w:rPr>
            </w:pPr>
            <w:r w:rsidRPr="009B5817">
              <w:rPr>
                <w:rFonts w:cs="Arial"/>
                <w:bCs/>
                <w:sz w:val="20"/>
              </w:rPr>
              <w:t>2004</w:t>
            </w:r>
          </w:p>
        </w:tc>
        <w:tc>
          <w:tcPr>
            <w:tcW w:w="861" w:type="pct"/>
            <w:shd w:val="clear" w:color="auto" w:fill="F2F2F2"/>
            <w:vAlign w:val="center"/>
          </w:tcPr>
          <w:p w14:paraId="701CBA67" w14:textId="77777777" w:rsidR="00CB4918" w:rsidRPr="009B5817" w:rsidRDefault="00CB4918" w:rsidP="00CB5DED">
            <w:pPr>
              <w:jc w:val="center"/>
              <w:rPr>
                <w:rFonts w:cs="Arial"/>
                <w:color w:val="000000"/>
                <w:sz w:val="20"/>
              </w:rPr>
            </w:pPr>
            <w:r w:rsidRPr="009B5817">
              <w:rPr>
                <w:rFonts w:cs="Arial"/>
                <w:color w:val="000000"/>
                <w:sz w:val="20"/>
              </w:rPr>
              <w:t>10,021</w:t>
            </w:r>
          </w:p>
        </w:tc>
        <w:tc>
          <w:tcPr>
            <w:tcW w:w="913" w:type="pct"/>
            <w:shd w:val="clear" w:color="auto" w:fill="F2F2F2"/>
            <w:vAlign w:val="center"/>
          </w:tcPr>
          <w:p w14:paraId="19280705" w14:textId="77777777" w:rsidR="00CB4918" w:rsidRPr="009B5817" w:rsidRDefault="00CB4918" w:rsidP="00CB5DED">
            <w:pPr>
              <w:jc w:val="center"/>
              <w:rPr>
                <w:rFonts w:cs="Arial"/>
                <w:color w:val="000000"/>
                <w:sz w:val="20"/>
              </w:rPr>
            </w:pPr>
            <w:r w:rsidRPr="009B5817">
              <w:rPr>
                <w:rFonts w:cs="Arial"/>
                <w:color w:val="000000"/>
                <w:sz w:val="20"/>
              </w:rPr>
              <w:t>76,038</w:t>
            </w:r>
          </w:p>
        </w:tc>
        <w:tc>
          <w:tcPr>
            <w:tcW w:w="1093" w:type="pct"/>
            <w:shd w:val="clear" w:color="auto" w:fill="F2F2F2"/>
            <w:vAlign w:val="center"/>
          </w:tcPr>
          <w:p w14:paraId="2FA1F933" w14:textId="77777777" w:rsidR="00CB4918" w:rsidRPr="009B5817" w:rsidRDefault="00CB4918" w:rsidP="00CB5DED">
            <w:pPr>
              <w:jc w:val="center"/>
              <w:rPr>
                <w:rFonts w:cs="Arial"/>
                <w:color w:val="000000"/>
                <w:sz w:val="20"/>
              </w:rPr>
            </w:pPr>
            <w:r w:rsidRPr="009B5817">
              <w:rPr>
                <w:rFonts w:cs="Arial"/>
                <w:color w:val="000000"/>
                <w:sz w:val="20"/>
              </w:rPr>
              <w:t>68,644</w:t>
            </w:r>
          </w:p>
        </w:tc>
        <w:tc>
          <w:tcPr>
            <w:tcW w:w="541" w:type="pct"/>
            <w:shd w:val="clear" w:color="auto" w:fill="F2F2F2"/>
            <w:vAlign w:val="center"/>
          </w:tcPr>
          <w:p w14:paraId="73E1DDB6" w14:textId="77777777" w:rsidR="00CB4918" w:rsidRPr="009B5817" w:rsidRDefault="00CB4918" w:rsidP="00CB5DED">
            <w:pPr>
              <w:jc w:val="center"/>
              <w:rPr>
                <w:rFonts w:cs="Arial"/>
                <w:color w:val="000000"/>
                <w:sz w:val="20"/>
              </w:rPr>
            </w:pPr>
            <w:r w:rsidRPr="009B5817">
              <w:rPr>
                <w:rFonts w:cs="Arial"/>
                <w:color w:val="000000"/>
                <w:sz w:val="20"/>
              </w:rPr>
              <w:t>2,646</w:t>
            </w:r>
          </w:p>
        </w:tc>
        <w:tc>
          <w:tcPr>
            <w:tcW w:w="518" w:type="pct"/>
            <w:shd w:val="clear" w:color="auto" w:fill="F2F2F2"/>
            <w:vAlign w:val="center"/>
          </w:tcPr>
          <w:p w14:paraId="3B037432" w14:textId="77777777" w:rsidR="00CB4918" w:rsidRPr="009B5817" w:rsidRDefault="00CB4918" w:rsidP="00CB5DED">
            <w:pPr>
              <w:jc w:val="center"/>
              <w:rPr>
                <w:rFonts w:cs="Arial"/>
                <w:color w:val="222222"/>
                <w:sz w:val="20"/>
              </w:rPr>
            </w:pPr>
            <w:r w:rsidRPr="009B5817">
              <w:rPr>
                <w:rFonts w:cs="Arial"/>
                <w:color w:val="222222"/>
                <w:sz w:val="20"/>
              </w:rPr>
              <w:t>713</w:t>
            </w:r>
          </w:p>
        </w:tc>
        <w:tc>
          <w:tcPr>
            <w:tcW w:w="630" w:type="pct"/>
            <w:shd w:val="clear" w:color="auto" w:fill="F2F2F2"/>
            <w:vAlign w:val="center"/>
          </w:tcPr>
          <w:p w14:paraId="0E8D7D5B" w14:textId="77777777" w:rsidR="00CB4918" w:rsidRPr="009B5817" w:rsidRDefault="00CB4918" w:rsidP="00CB5DED">
            <w:pPr>
              <w:jc w:val="center"/>
              <w:rPr>
                <w:rFonts w:cs="Arial"/>
                <w:b/>
                <w:sz w:val="20"/>
              </w:rPr>
            </w:pPr>
            <w:r w:rsidRPr="009B5817">
              <w:rPr>
                <w:rFonts w:cs="Arial"/>
                <w:b/>
                <w:sz w:val="20"/>
              </w:rPr>
              <w:t>158,062</w:t>
            </w:r>
          </w:p>
        </w:tc>
      </w:tr>
      <w:tr w:rsidR="00CB4918" w:rsidRPr="009B5817" w14:paraId="54482FF2" w14:textId="77777777" w:rsidTr="00CB5DED">
        <w:trPr>
          <w:jc w:val="center"/>
        </w:trPr>
        <w:tc>
          <w:tcPr>
            <w:tcW w:w="444" w:type="pct"/>
            <w:vAlign w:val="center"/>
          </w:tcPr>
          <w:p w14:paraId="022A18B2" w14:textId="77777777" w:rsidR="00CB4918" w:rsidRPr="009B5817" w:rsidRDefault="00CB4918" w:rsidP="00CB5DED">
            <w:pPr>
              <w:jc w:val="center"/>
              <w:rPr>
                <w:rFonts w:cs="Arial"/>
                <w:bCs/>
                <w:sz w:val="20"/>
              </w:rPr>
            </w:pPr>
            <w:r w:rsidRPr="009B5817">
              <w:rPr>
                <w:rFonts w:cs="Arial"/>
                <w:bCs/>
                <w:sz w:val="20"/>
              </w:rPr>
              <w:t>2014</w:t>
            </w:r>
          </w:p>
        </w:tc>
        <w:tc>
          <w:tcPr>
            <w:tcW w:w="861" w:type="pct"/>
            <w:vAlign w:val="center"/>
          </w:tcPr>
          <w:p w14:paraId="24021346" w14:textId="77777777" w:rsidR="00CB4918" w:rsidRPr="009B5817" w:rsidRDefault="00CB4918" w:rsidP="00CB5DED">
            <w:pPr>
              <w:jc w:val="center"/>
              <w:rPr>
                <w:rFonts w:cs="Arial"/>
                <w:color w:val="222222"/>
                <w:sz w:val="20"/>
              </w:rPr>
            </w:pPr>
            <w:r w:rsidRPr="009B5817">
              <w:rPr>
                <w:rFonts w:cs="Arial"/>
                <w:color w:val="222222"/>
                <w:sz w:val="20"/>
              </w:rPr>
              <w:t>9,357</w:t>
            </w:r>
          </w:p>
        </w:tc>
        <w:tc>
          <w:tcPr>
            <w:tcW w:w="913" w:type="pct"/>
            <w:vAlign w:val="center"/>
          </w:tcPr>
          <w:p w14:paraId="7EAA1728" w14:textId="77777777" w:rsidR="00CB4918" w:rsidRPr="009B5817" w:rsidRDefault="00CB4918" w:rsidP="00CB5DED">
            <w:pPr>
              <w:jc w:val="center"/>
              <w:rPr>
                <w:rFonts w:cs="Arial"/>
                <w:color w:val="222222"/>
                <w:sz w:val="20"/>
              </w:rPr>
            </w:pPr>
            <w:r w:rsidRPr="009B5817">
              <w:rPr>
                <w:rFonts w:cs="Arial"/>
                <w:color w:val="222222"/>
                <w:sz w:val="20"/>
              </w:rPr>
              <w:t>62,706</w:t>
            </w:r>
          </w:p>
        </w:tc>
        <w:tc>
          <w:tcPr>
            <w:tcW w:w="1093" w:type="pct"/>
            <w:vAlign w:val="center"/>
          </w:tcPr>
          <w:p w14:paraId="5E47493F" w14:textId="77777777" w:rsidR="00CB4918" w:rsidRPr="009B5817" w:rsidRDefault="00CB4918" w:rsidP="00CB5DED">
            <w:pPr>
              <w:jc w:val="center"/>
              <w:rPr>
                <w:rFonts w:cs="Arial"/>
                <w:color w:val="222222"/>
                <w:sz w:val="20"/>
              </w:rPr>
            </w:pPr>
            <w:r w:rsidRPr="009B5817">
              <w:rPr>
                <w:rFonts w:cs="Arial"/>
                <w:color w:val="222222"/>
                <w:sz w:val="20"/>
              </w:rPr>
              <w:t>96,234</w:t>
            </w:r>
          </w:p>
        </w:tc>
        <w:tc>
          <w:tcPr>
            <w:tcW w:w="541" w:type="pct"/>
            <w:vAlign w:val="center"/>
          </w:tcPr>
          <w:p w14:paraId="6FD1EF7E" w14:textId="77777777" w:rsidR="00CB4918" w:rsidRPr="009B5817" w:rsidRDefault="00CB4918" w:rsidP="00CB5DED">
            <w:pPr>
              <w:jc w:val="center"/>
              <w:rPr>
                <w:rFonts w:cs="Arial"/>
                <w:color w:val="222222"/>
                <w:sz w:val="20"/>
              </w:rPr>
            </w:pPr>
            <w:r w:rsidRPr="009B5817">
              <w:rPr>
                <w:rFonts w:cs="Arial"/>
                <w:color w:val="222222"/>
                <w:sz w:val="20"/>
              </w:rPr>
              <w:t>3,165</w:t>
            </w:r>
          </w:p>
        </w:tc>
        <w:tc>
          <w:tcPr>
            <w:tcW w:w="518" w:type="pct"/>
            <w:vAlign w:val="center"/>
          </w:tcPr>
          <w:p w14:paraId="63DDAD68" w14:textId="77777777" w:rsidR="00CB4918" w:rsidRPr="009B5817" w:rsidRDefault="00CB4918" w:rsidP="00CB5DED">
            <w:pPr>
              <w:jc w:val="center"/>
              <w:rPr>
                <w:rFonts w:cs="Arial"/>
                <w:color w:val="222222"/>
                <w:sz w:val="20"/>
              </w:rPr>
            </w:pPr>
            <w:r w:rsidRPr="009B5817">
              <w:rPr>
                <w:rFonts w:cs="Arial"/>
                <w:color w:val="222222"/>
                <w:sz w:val="20"/>
              </w:rPr>
              <w:t>617</w:t>
            </w:r>
          </w:p>
        </w:tc>
        <w:tc>
          <w:tcPr>
            <w:tcW w:w="630" w:type="pct"/>
            <w:vAlign w:val="center"/>
          </w:tcPr>
          <w:p w14:paraId="4A5259B4" w14:textId="77777777" w:rsidR="00CB4918" w:rsidRPr="009B5817" w:rsidRDefault="00CB4918" w:rsidP="00CB5DED">
            <w:pPr>
              <w:jc w:val="center"/>
              <w:rPr>
                <w:rFonts w:cs="Arial"/>
                <w:b/>
                <w:bCs/>
                <w:color w:val="000000"/>
                <w:sz w:val="20"/>
              </w:rPr>
            </w:pPr>
            <w:r w:rsidRPr="009B5817">
              <w:rPr>
                <w:rFonts w:cs="Arial"/>
                <w:b/>
                <w:bCs/>
                <w:color w:val="000000"/>
                <w:sz w:val="20"/>
              </w:rPr>
              <w:t>172,080</w:t>
            </w:r>
          </w:p>
        </w:tc>
      </w:tr>
      <w:tr w:rsidR="00CB4918" w:rsidRPr="009B5817" w14:paraId="51894CF0" w14:textId="77777777" w:rsidTr="00CB5DED">
        <w:trPr>
          <w:jc w:val="center"/>
        </w:trPr>
        <w:tc>
          <w:tcPr>
            <w:tcW w:w="5000" w:type="pct"/>
            <w:gridSpan w:val="7"/>
            <w:shd w:val="clear" w:color="auto" w:fill="D9D9D9"/>
            <w:vAlign w:val="center"/>
          </w:tcPr>
          <w:p w14:paraId="706443C8" w14:textId="77777777" w:rsidR="00CB4918" w:rsidRPr="009B5817" w:rsidRDefault="00CB4918" w:rsidP="00CB5DED">
            <w:pPr>
              <w:jc w:val="center"/>
              <w:rPr>
                <w:rFonts w:cs="Arial"/>
                <w:b/>
                <w:sz w:val="20"/>
              </w:rPr>
            </w:pPr>
            <w:r w:rsidRPr="009B5817">
              <w:rPr>
                <w:rFonts w:cs="Arial"/>
                <w:b/>
                <w:bCs/>
                <w:sz w:val="20"/>
              </w:rPr>
              <w:t>Local Traffic Only</w:t>
            </w:r>
            <w:r>
              <w:rPr>
                <w:rFonts w:cs="Arial"/>
                <w:b/>
                <w:bCs/>
                <w:sz w:val="20"/>
              </w:rPr>
              <w:t xml:space="preserve"> (CO</w:t>
            </w:r>
            <w:r w:rsidRPr="00FF4A3F">
              <w:rPr>
                <w:rFonts w:cs="Arial"/>
                <w:b/>
                <w:bCs/>
                <w:sz w:val="20"/>
                <w:vertAlign w:val="subscript"/>
              </w:rPr>
              <w:t>2e</w:t>
            </w:r>
            <w:r>
              <w:rPr>
                <w:rFonts w:cs="Arial"/>
                <w:b/>
                <w:bCs/>
                <w:sz w:val="20"/>
              </w:rPr>
              <w:t xml:space="preserve"> metric tons)</w:t>
            </w:r>
          </w:p>
        </w:tc>
      </w:tr>
      <w:tr w:rsidR="00CB4918" w:rsidRPr="009B5817" w14:paraId="3063058F" w14:textId="77777777" w:rsidTr="00CB5DED">
        <w:trPr>
          <w:jc w:val="center"/>
        </w:trPr>
        <w:tc>
          <w:tcPr>
            <w:tcW w:w="444" w:type="pct"/>
            <w:tcBorders>
              <w:bottom w:val="single" w:sz="4" w:space="0" w:color="auto"/>
            </w:tcBorders>
            <w:vAlign w:val="center"/>
          </w:tcPr>
          <w:p w14:paraId="1B5961A4" w14:textId="77777777" w:rsidR="00CB4918" w:rsidRPr="009B5817" w:rsidRDefault="00CB4918" w:rsidP="00CB5DED">
            <w:pPr>
              <w:jc w:val="center"/>
              <w:rPr>
                <w:rFonts w:cs="Arial"/>
                <w:b/>
                <w:bCs/>
                <w:sz w:val="20"/>
              </w:rPr>
            </w:pPr>
            <w:r w:rsidRPr="009B5817">
              <w:rPr>
                <w:rFonts w:cs="Arial"/>
                <w:b/>
                <w:bCs/>
                <w:sz w:val="20"/>
              </w:rPr>
              <w:t>Year</w:t>
            </w:r>
          </w:p>
        </w:tc>
        <w:tc>
          <w:tcPr>
            <w:tcW w:w="861" w:type="pct"/>
            <w:tcBorders>
              <w:bottom w:val="single" w:sz="4" w:space="0" w:color="auto"/>
            </w:tcBorders>
            <w:vAlign w:val="center"/>
          </w:tcPr>
          <w:p w14:paraId="4F038ADF" w14:textId="77777777" w:rsidR="00CB4918" w:rsidRPr="009B5817" w:rsidRDefault="00CB4918" w:rsidP="00CB5DED">
            <w:pPr>
              <w:jc w:val="center"/>
              <w:rPr>
                <w:rFonts w:cs="Arial"/>
                <w:b/>
                <w:sz w:val="20"/>
              </w:rPr>
            </w:pPr>
            <w:r w:rsidRPr="009B5817">
              <w:rPr>
                <w:rFonts w:cs="Arial"/>
                <w:b/>
                <w:sz w:val="20"/>
              </w:rPr>
              <w:t>Residential</w:t>
            </w:r>
          </w:p>
        </w:tc>
        <w:tc>
          <w:tcPr>
            <w:tcW w:w="913" w:type="pct"/>
            <w:tcBorders>
              <w:bottom w:val="single" w:sz="4" w:space="0" w:color="auto"/>
            </w:tcBorders>
            <w:vAlign w:val="center"/>
          </w:tcPr>
          <w:p w14:paraId="55F372FD" w14:textId="77777777" w:rsidR="00CB4918" w:rsidRPr="009B5817" w:rsidRDefault="00CB4918" w:rsidP="00CB5DED">
            <w:pPr>
              <w:jc w:val="center"/>
              <w:rPr>
                <w:rFonts w:cs="Arial"/>
                <w:b/>
                <w:sz w:val="20"/>
              </w:rPr>
            </w:pPr>
            <w:r w:rsidRPr="009B5817">
              <w:rPr>
                <w:rFonts w:cs="Arial"/>
                <w:b/>
                <w:sz w:val="20"/>
              </w:rPr>
              <w:t>Commercial</w:t>
            </w:r>
          </w:p>
        </w:tc>
        <w:tc>
          <w:tcPr>
            <w:tcW w:w="1093" w:type="pct"/>
            <w:tcBorders>
              <w:bottom w:val="single" w:sz="4" w:space="0" w:color="auto"/>
            </w:tcBorders>
            <w:vAlign w:val="center"/>
          </w:tcPr>
          <w:p w14:paraId="778F35EA" w14:textId="77777777" w:rsidR="00CB4918" w:rsidRPr="009B5817" w:rsidRDefault="00CB4918" w:rsidP="00CB5DED">
            <w:pPr>
              <w:jc w:val="center"/>
              <w:rPr>
                <w:rFonts w:cs="Arial"/>
                <w:b/>
                <w:sz w:val="20"/>
              </w:rPr>
            </w:pPr>
            <w:r w:rsidRPr="009B5817">
              <w:rPr>
                <w:rFonts w:cs="Arial"/>
                <w:b/>
                <w:sz w:val="20"/>
              </w:rPr>
              <w:t>Transportation</w:t>
            </w:r>
          </w:p>
        </w:tc>
        <w:tc>
          <w:tcPr>
            <w:tcW w:w="541" w:type="pct"/>
            <w:tcBorders>
              <w:bottom w:val="single" w:sz="4" w:space="0" w:color="auto"/>
            </w:tcBorders>
            <w:vAlign w:val="center"/>
          </w:tcPr>
          <w:p w14:paraId="4C144253" w14:textId="77777777" w:rsidR="00CB4918" w:rsidRPr="009B5817" w:rsidRDefault="00CB4918" w:rsidP="00CB5DED">
            <w:pPr>
              <w:jc w:val="center"/>
              <w:rPr>
                <w:rFonts w:cs="Arial"/>
                <w:b/>
                <w:sz w:val="20"/>
              </w:rPr>
            </w:pPr>
            <w:r w:rsidRPr="009B5817">
              <w:rPr>
                <w:rFonts w:cs="Arial"/>
                <w:b/>
                <w:sz w:val="20"/>
              </w:rPr>
              <w:t>Waste</w:t>
            </w:r>
          </w:p>
        </w:tc>
        <w:tc>
          <w:tcPr>
            <w:tcW w:w="518" w:type="pct"/>
            <w:tcBorders>
              <w:bottom w:val="single" w:sz="4" w:space="0" w:color="auto"/>
            </w:tcBorders>
            <w:vAlign w:val="center"/>
          </w:tcPr>
          <w:p w14:paraId="40414EC8" w14:textId="77777777" w:rsidR="00CB4918" w:rsidRPr="009B5817" w:rsidRDefault="00CB4918" w:rsidP="00CB5DED">
            <w:pPr>
              <w:jc w:val="center"/>
              <w:rPr>
                <w:rFonts w:cs="Arial"/>
                <w:b/>
                <w:sz w:val="20"/>
              </w:rPr>
            </w:pPr>
            <w:r w:rsidRPr="009B5817">
              <w:rPr>
                <w:rFonts w:cs="Arial"/>
                <w:b/>
                <w:sz w:val="20"/>
              </w:rPr>
              <w:t>Water</w:t>
            </w:r>
          </w:p>
        </w:tc>
        <w:tc>
          <w:tcPr>
            <w:tcW w:w="630" w:type="pct"/>
            <w:tcBorders>
              <w:bottom w:val="single" w:sz="4" w:space="0" w:color="auto"/>
            </w:tcBorders>
            <w:vAlign w:val="center"/>
          </w:tcPr>
          <w:p w14:paraId="24782653" w14:textId="77777777" w:rsidR="00CB4918" w:rsidRPr="009B5817" w:rsidRDefault="00CB4918" w:rsidP="00CB5DED">
            <w:pPr>
              <w:jc w:val="center"/>
              <w:rPr>
                <w:rFonts w:cs="Arial"/>
                <w:b/>
                <w:sz w:val="20"/>
              </w:rPr>
            </w:pPr>
            <w:r w:rsidRPr="009B5817">
              <w:rPr>
                <w:rFonts w:cs="Arial"/>
                <w:b/>
                <w:sz w:val="20"/>
              </w:rPr>
              <w:t>TOTAL</w:t>
            </w:r>
          </w:p>
        </w:tc>
      </w:tr>
      <w:tr w:rsidR="00CB4918" w:rsidRPr="009B5817" w14:paraId="28A458E8" w14:textId="77777777" w:rsidTr="00CB5DED">
        <w:trPr>
          <w:jc w:val="center"/>
        </w:trPr>
        <w:tc>
          <w:tcPr>
            <w:tcW w:w="444" w:type="pct"/>
            <w:shd w:val="clear" w:color="auto" w:fill="F2F2F2"/>
            <w:vAlign w:val="center"/>
          </w:tcPr>
          <w:p w14:paraId="61D91CC2" w14:textId="77777777" w:rsidR="00CB4918" w:rsidRPr="009B5817" w:rsidRDefault="00CB4918" w:rsidP="00CB5DED">
            <w:pPr>
              <w:jc w:val="center"/>
              <w:rPr>
                <w:rFonts w:cs="Arial"/>
                <w:bCs/>
                <w:sz w:val="20"/>
              </w:rPr>
            </w:pPr>
            <w:r w:rsidRPr="009B5817">
              <w:rPr>
                <w:rFonts w:cs="Arial"/>
                <w:bCs/>
                <w:sz w:val="20"/>
              </w:rPr>
              <w:t>2004</w:t>
            </w:r>
          </w:p>
        </w:tc>
        <w:tc>
          <w:tcPr>
            <w:tcW w:w="861" w:type="pct"/>
            <w:shd w:val="clear" w:color="auto" w:fill="F2F2F2"/>
            <w:vAlign w:val="center"/>
          </w:tcPr>
          <w:p w14:paraId="61312833" w14:textId="77777777" w:rsidR="00CB4918" w:rsidRPr="009B5817" w:rsidRDefault="00CB4918" w:rsidP="00CB5DED">
            <w:pPr>
              <w:jc w:val="center"/>
              <w:rPr>
                <w:rFonts w:cs="Arial"/>
                <w:sz w:val="20"/>
              </w:rPr>
            </w:pPr>
            <w:r w:rsidRPr="009B5817">
              <w:rPr>
                <w:rFonts w:cs="Arial"/>
                <w:sz w:val="20"/>
              </w:rPr>
              <w:t>10,021</w:t>
            </w:r>
          </w:p>
        </w:tc>
        <w:tc>
          <w:tcPr>
            <w:tcW w:w="913" w:type="pct"/>
            <w:shd w:val="clear" w:color="auto" w:fill="F2F2F2"/>
            <w:vAlign w:val="center"/>
          </w:tcPr>
          <w:p w14:paraId="35E011AE" w14:textId="77777777" w:rsidR="00CB4918" w:rsidRPr="009B5817" w:rsidRDefault="00CB4918" w:rsidP="00CB5DED">
            <w:pPr>
              <w:jc w:val="center"/>
              <w:rPr>
                <w:rFonts w:cs="Arial"/>
                <w:sz w:val="20"/>
              </w:rPr>
            </w:pPr>
            <w:r w:rsidRPr="009B5817">
              <w:rPr>
                <w:rFonts w:cs="Arial"/>
                <w:sz w:val="20"/>
              </w:rPr>
              <w:t>76,038</w:t>
            </w:r>
          </w:p>
        </w:tc>
        <w:tc>
          <w:tcPr>
            <w:tcW w:w="1093" w:type="pct"/>
            <w:shd w:val="clear" w:color="auto" w:fill="F2F2F2"/>
            <w:vAlign w:val="center"/>
          </w:tcPr>
          <w:p w14:paraId="7013224A" w14:textId="77777777" w:rsidR="00CB4918" w:rsidRPr="009B5817" w:rsidRDefault="00CB4918" w:rsidP="00CB5DED">
            <w:pPr>
              <w:jc w:val="center"/>
              <w:rPr>
                <w:rFonts w:cs="Arial"/>
                <w:sz w:val="20"/>
              </w:rPr>
            </w:pPr>
            <w:r w:rsidRPr="009B5817">
              <w:rPr>
                <w:rFonts w:cs="Arial"/>
                <w:sz w:val="20"/>
              </w:rPr>
              <w:t>40,194</w:t>
            </w:r>
          </w:p>
        </w:tc>
        <w:tc>
          <w:tcPr>
            <w:tcW w:w="541" w:type="pct"/>
            <w:shd w:val="clear" w:color="auto" w:fill="F2F2F2"/>
            <w:vAlign w:val="center"/>
          </w:tcPr>
          <w:p w14:paraId="2917682C" w14:textId="77777777" w:rsidR="00CB4918" w:rsidRPr="009B5817" w:rsidRDefault="00CB4918" w:rsidP="00CB5DED">
            <w:pPr>
              <w:jc w:val="center"/>
              <w:rPr>
                <w:rFonts w:cs="Arial"/>
                <w:sz w:val="20"/>
              </w:rPr>
            </w:pPr>
            <w:r w:rsidRPr="009B5817">
              <w:rPr>
                <w:rFonts w:cs="Arial"/>
                <w:color w:val="000000"/>
                <w:sz w:val="20"/>
              </w:rPr>
              <w:t>2,646</w:t>
            </w:r>
          </w:p>
        </w:tc>
        <w:tc>
          <w:tcPr>
            <w:tcW w:w="518" w:type="pct"/>
            <w:shd w:val="clear" w:color="auto" w:fill="F2F2F2"/>
            <w:vAlign w:val="center"/>
          </w:tcPr>
          <w:p w14:paraId="02041A0F" w14:textId="77777777" w:rsidR="00CB4918" w:rsidRPr="009B5817" w:rsidRDefault="00CB4918" w:rsidP="00CB5DED">
            <w:pPr>
              <w:jc w:val="center"/>
              <w:rPr>
                <w:rFonts w:cs="Arial"/>
                <w:sz w:val="20"/>
              </w:rPr>
            </w:pPr>
            <w:r w:rsidRPr="009B5817">
              <w:rPr>
                <w:rFonts w:cs="Arial"/>
                <w:sz w:val="20"/>
              </w:rPr>
              <w:t>713</w:t>
            </w:r>
          </w:p>
        </w:tc>
        <w:tc>
          <w:tcPr>
            <w:tcW w:w="630" w:type="pct"/>
            <w:shd w:val="clear" w:color="auto" w:fill="F2F2F2"/>
            <w:vAlign w:val="center"/>
          </w:tcPr>
          <w:p w14:paraId="72685C28" w14:textId="77777777" w:rsidR="00CB4918" w:rsidRPr="009B5817" w:rsidRDefault="00CB4918" w:rsidP="00CB5DED">
            <w:pPr>
              <w:jc w:val="center"/>
              <w:rPr>
                <w:rFonts w:cs="Arial"/>
                <w:b/>
                <w:sz w:val="20"/>
              </w:rPr>
            </w:pPr>
            <w:r w:rsidRPr="009B5817">
              <w:rPr>
                <w:rFonts w:cs="Arial"/>
                <w:b/>
                <w:sz w:val="20"/>
              </w:rPr>
              <w:t>129,612</w:t>
            </w:r>
          </w:p>
        </w:tc>
      </w:tr>
      <w:tr w:rsidR="00CB4918" w:rsidRPr="009B5817" w14:paraId="7AEC1789" w14:textId="77777777" w:rsidTr="00CB5DED">
        <w:trPr>
          <w:jc w:val="center"/>
        </w:trPr>
        <w:tc>
          <w:tcPr>
            <w:tcW w:w="444" w:type="pct"/>
            <w:vAlign w:val="center"/>
          </w:tcPr>
          <w:p w14:paraId="43F375C0" w14:textId="77777777" w:rsidR="00CB4918" w:rsidRPr="009B5817" w:rsidRDefault="00CB4918" w:rsidP="00CB5DED">
            <w:pPr>
              <w:jc w:val="center"/>
              <w:rPr>
                <w:rFonts w:cs="Arial"/>
                <w:bCs/>
                <w:sz w:val="20"/>
              </w:rPr>
            </w:pPr>
            <w:r w:rsidRPr="009B5817">
              <w:rPr>
                <w:rFonts w:cs="Arial"/>
                <w:bCs/>
                <w:sz w:val="20"/>
              </w:rPr>
              <w:t>2014</w:t>
            </w:r>
          </w:p>
        </w:tc>
        <w:tc>
          <w:tcPr>
            <w:tcW w:w="861" w:type="pct"/>
            <w:vAlign w:val="center"/>
          </w:tcPr>
          <w:p w14:paraId="6DF92CCD" w14:textId="77777777" w:rsidR="00CB4918" w:rsidRPr="009B5817" w:rsidRDefault="00CB4918" w:rsidP="00CB5DED">
            <w:pPr>
              <w:jc w:val="center"/>
              <w:rPr>
                <w:rFonts w:cs="Arial"/>
                <w:sz w:val="20"/>
              </w:rPr>
            </w:pPr>
            <w:r w:rsidRPr="009B5817">
              <w:rPr>
                <w:rFonts w:cs="Arial"/>
                <w:sz w:val="20"/>
              </w:rPr>
              <w:t>9,357</w:t>
            </w:r>
          </w:p>
        </w:tc>
        <w:tc>
          <w:tcPr>
            <w:tcW w:w="913" w:type="pct"/>
            <w:vAlign w:val="center"/>
          </w:tcPr>
          <w:p w14:paraId="0B389D73" w14:textId="77777777" w:rsidR="00CB4918" w:rsidRPr="009B5817" w:rsidRDefault="00CB4918" w:rsidP="00CB5DED">
            <w:pPr>
              <w:jc w:val="center"/>
              <w:rPr>
                <w:rFonts w:cs="Arial"/>
                <w:sz w:val="20"/>
              </w:rPr>
            </w:pPr>
            <w:r w:rsidRPr="009B5817">
              <w:rPr>
                <w:rFonts w:cs="Arial"/>
                <w:sz w:val="20"/>
              </w:rPr>
              <w:t>62,706</w:t>
            </w:r>
          </w:p>
        </w:tc>
        <w:tc>
          <w:tcPr>
            <w:tcW w:w="1093" w:type="pct"/>
            <w:vAlign w:val="center"/>
          </w:tcPr>
          <w:p w14:paraId="15FD0AB0" w14:textId="77777777" w:rsidR="00CB4918" w:rsidRPr="009B5817" w:rsidRDefault="00CB4918" w:rsidP="00CB5DED">
            <w:pPr>
              <w:jc w:val="center"/>
              <w:rPr>
                <w:rFonts w:cs="Arial"/>
                <w:sz w:val="20"/>
              </w:rPr>
            </w:pPr>
            <w:r w:rsidRPr="009B5817">
              <w:rPr>
                <w:rFonts w:cs="Arial"/>
                <w:sz w:val="20"/>
              </w:rPr>
              <w:t>44,282</w:t>
            </w:r>
          </w:p>
        </w:tc>
        <w:tc>
          <w:tcPr>
            <w:tcW w:w="541" w:type="pct"/>
            <w:vAlign w:val="center"/>
          </w:tcPr>
          <w:p w14:paraId="278FC779" w14:textId="77777777" w:rsidR="00CB4918" w:rsidRPr="009B5817" w:rsidRDefault="00CB4918" w:rsidP="00CB5DED">
            <w:pPr>
              <w:jc w:val="center"/>
              <w:rPr>
                <w:rFonts w:cs="Arial"/>
                <w:sz w:val="20"/>
              </w:rPr>
            </w:pPr>
            <w:r w:rsidRPr="009B5817">
              <w:rPr>
                <w:rFonts w:cs="Arial"/>
                <w:color w:val="222222"/>
                <w:sz w:val="20"/>
              </w:rPr>
              <w:t>3,165</w:t>
            </w:r>
          </w:p>
        </w:tc>
        <w:tc>
          <w:tcPr>
            <w:tcW w:w="518" w:type="pct"/>
            <w:vAlign w:val="center"/>
          </w:tcPr>
          <w:p w14:paraId="51E43603" w14:textId="77777777" w:rsidR="00CB4918" w:rsidRPr="009B5817" w:rsidRDefault="00CB4918" w:rsidP="00CB5DED">
            <w:pPr>
              <w:jc w:val="center"/>
              <w:rPr>
                <w:rFonts w:cs="Arial"/>
                <w:sz w:val="20"/>
              </w:rPr>
            </w:pPr>
            <w:r w:rsidRPr="009B5817">
              <w:rPr>
                <w:rFonts w:cs="Arial"/>
                <w:sz w:val="20"/>
              </w:rPr>
              <w:t>617</w:t>
            </w:r>
          </w:p>
        </w:tc>
        <w:tc>
          <w:tcPr>
            <w:tcW w:w="630" w:type="pct"/>
            <w:vAlign w:val="center"/>
          </w:tcPr>
          <w:p w14:paraId="3AF8EEC0" w14:textId="77777777" w:rsidR="00CB4918" w:rsidRPr="009B5817" w:rsidRDefault="00CB4918" w:rsidP="00CB5DED">
            <w:pPr>
              <w:jc w:val="center"/>
              <w:rPr>
                <w:rFonts w:cs="Arial"/>
                <w:b/>
                <w:sz w:val="20"/>
              </w:rPr>
            </w:pPr>
            <w:r w:rsidRPr="009B5817">
              <w:rPr>
                <w:rFonts w:cs="Arial"/>
                <w:b/>
                <w:sz w:val="20"/>
              </w:rPr>
              <w:t>120,128</w:t>
            </w:r>
          </w:p>
        </w:tc>
      </w:tr>
    </w:tbl>
    <w:p w14:paraId="4E4FD02A" w14:textId="77777777" w:rsidR="00CB4918" w:rsidRDefault="00CB4918" w:rsidP="00CB4918">
      <w:pPr>
        <w:pStyle w:val="NoSpacing"/>
        <w:rPr>
          <w:rFonts w:ascii="Arial" w:hAnsi="Arial" w:cs="Arial"/>
          <w:sz w:val="24"/>
          <w:szCs w:val="24"/>
        </w:rPr>
      </w:pPr>
    </w:p>
    <w:p w14:paraId="66F1BC96" w14:textId="77777777" w:rsidR="00CB4918" w:rsidRPr="009B5817" w:rsidRDefault="00CB4918" w:rsidP="00CB4918">
      <w:pPr>
        <w:rPr>
          <w:rFonts w:cs="Arial"/>
          <w:b/>
          <w:sz w:val="20"/>
          <w:szCs w:val="20"/>
        </w:rPr>
      </w:pPr>
      <w:r>
        <w:rPr>
          <w:rFonts w:cs="Arial"/>
          <w:b/>
          <w:sz w:val="20"/>
          <w:szCs w:val="20"/>
        </w:rPr>
        <w:t>Table 2</w:t>
      </w:r>
      <w:r w:rsidRPr="009B5817">
        <w:rPr>
          <w:rFonts w:cs="Arial"/>
          <w:b/>
          <w:sz w:val="20"/>
          <w:szCs w:val="20"/>
        </w:rPr>
        <w:t xml:space="preserve">: Community Per-Capita GHG Emissions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539"/>
        <w:gridCol w:w="2539"/>
      </w:tblGrid>
      <w:tr w:rsidR="00CB4918" w:rsidRPr="00B9311B" w14:paraId="32AA1722" w14:textId="77777777" w:rsidTr="00CB5DED">
        <w:tc>
          <w:tcPr>
            <w:tcW w:w="0" w:type="auto"/>
            <w:shd w:val="clear" w:color="auto" w:fill="D9D9D9"/>
            <w:vAlign w:val="center"/>
          </w:tcPr>
          <w:p w14:paraId="62DCC4D2" w14:textId="77777777" w:rsidR="00CB4918" w:rsidRPr="00B9311B" w:rsidRDefault="00CB4918" w:rsidP="00CB5DED">
            <w:pPr>
              <w:jc w:val="center"/>
              <w:rPr>
                <w:rFonts w:cs="Arial"/>
                <w:b/>
                <w:sz w:val="20"/>
                <w:szCs w:val="20"/>
              </w:rPr>
            </w:pPr>
            <w:r w:rsidRPr="00B9311B">
              <w:rPr>
                <w:rFonts w:cs="Arial"/>
                <w:b/>
                <w:sz w:val="20"/>
                <w:szCs w:val="20"/>
              </w:rPr>
              <w:t>Year</w:t>
            </w:r>
          </w:p>
        </w:tc>
        <w:tc>
          <w:tcPr>
            <w:tcW w:w="0" w:type="auto"/>
            <w:shd w:val="clear" w:color="auto" w:fill="D9D9D9"/>
            <w:vAlign w:val="center"/>
          </w:tcPr>
          <w:p w14:paraId="4A778F92" w14:textId="77777777" w:rsidR="00CB4918" w:rsidRPr="00B9311B" w:rsidRDefault="00CB4918" w:rsidP="00CB5DED">
            <w:pPr>
              <w:jc w:val="center"/>
              <w:rPr>
                <w:rFonts w:cs="Arial"/>
                <w:b/>
                <w:sz w:val="20"/>
                <w:szCs w:val="20"/>
              </w:rPr>
            </w:pPr>
            <w:r w:rsidRPr="00B9311B">
              <w:rPr>
                <w:rFonts w:cs="Arial"/>
                <w:b/>
                <w:sz w:val="20"/>
                <w:szCs w:val="20"/>
              </w:rPr>
              <w:t>All Traffic</w:t>
            </w:r>
          </w:p>
          <w:p w14:paraId="67CBA15D" w14:textId="77777777" w:rsidR="00CB4918" w:rsidRPr="00B9311B" w:rsidRDefault="00CB4918" w:rsidP="00CB5DED">
            <w:pPr>
              <w:jc w:val="center"/>
              <w:rPr>
                <w:rFonts w:cs="Arial"/>
                <w:b/>
                <w:sz w:val="20"/>
                <w:szCs w:val="20"/>
              </w:rPr>
            </w:pPr>
            <w:r w:rsidRPr="00B9311B">
              <w:rPr>
                <w:rFonts w:cs="Arial"/>
                <w:b/>
                <w:sz w:val="20"/>
                <w:szCs w:val="20"/>
              </w:rPr>
              <w:t xml:space="preserve">(metric ton </w:t>
            </w:r>
            <w:r w:rsidRPr="00B9311B">
              <w:rPr>
                <w:rFonts w:cs="Arial"/>
                <w:sz w:val="20"/>
                <w:szCs w:val="20"/>
              </w:rPr>
              <w:t>CO</w:t>
            </w:r>
            <w:r w:rsidRPr="00B9311B">
              <w:rPr>
                <w:rFonts w:cs="Arial"/>
                <w:sz w:val="20"/>
                <w:szCs w:val="20"/>
                <w:vertAlign w:val="subscript"/>
              </w:rPr>
              <w:t>2</w:t>
            </w:r>
            <w:r>
              <w:rPr>
                <w:rFonts w:cs="Arial"/>
                <w:sz w:val="20"/>
                <w:szCs w:val="20"/>
                <w:vertAlign w:val="subscript"/>
              </w:rPr>
              <w:t>e</w:t>
            </w:r>
            <w:r w:rsidRPr="00B9311B">
              <w:rPr>
                <w:rFonts w:cs="Arial"/>
                <w:b/>
                <w:sz w:val="20"/>
                <w:szCs w:val="20"/>
              </w:rPr>
              <w:t>/person)</w:t>
            </w:r>
          </w:p>
        </w:tc>
        <w:tc>
          <w:tcPr>
            <w:tcW w:w="0" w:type="auto"/>
            <w:shd w:val="clear" w:color="auto" w:fill="D9D9D9"/>
            <w:vAlign w:val="center"/>
          </w:tcPr>
          <w:p w14:paraId="09FA5803" w14:textId="77777777" w:rsidR="00CB4918" w:rsidRPr="00B9311B" w:rsidRDefault="00CB4918" w:rsidP="00CB5DED">
            <w:pPr>
              <w:jc w:val="center"/>
              <w:rPr>
                <w:rFonts w:cs="Arial"/>
                <w:b/>
                <w:sz w:val="20"/>
                <w:szCs w:val="20"/>
              </w:rPr>
            </w:pPr>
            <w:r w:rsidRPr="00B9311B">
              <w:rPr>
                <w:rFonts w:cs="Arial"/>
                <w:b/>
                <w:sz w:val="20"/>
                <w:szCs w:val="20"/>
              </w:rPr>
              <w:t>Local Traffic Only</w:t>
            </w:r>
          </w:p>
          <w:p w14:paraId="640F1BCB" w14:textId="77777777" w:rsidR="00CB4918" w:rsidRPr="00B9311B" w:rsidRDefault="00CB4918" w:rsidP="00CB5DED">
            <w:pPr>
              <w:jc w:val="center"/>
              <w:rPr>
                <w:rFonts w:cs="Arial"/>
                <w:b/>
                <w:sz w:val="20"/>
                <w:szCs w:val="20"/>
              </w:rPr>
            </w:pPr>
            <w:r w:rsidRPr="00B9311B">
              <w:rPr>
                <w:rFonts w:cs="Arial"/>
                <w:b/>
                <w:sz w:val="20"/>
                <w:szCs w:val="20"/>
              </w:rPr>
              <w:t xml:space="preserve">(metric ton </w:t>
            </w:r>
            <w:r w:rsidRPr="00B9311B">
              <w:rPr>
                <w:rFonts w:cs="Arial"/>
                <w:sz w:val="20"/>
                <w:szCs w:val="20"/>
              </w:rPr>
              <w:t>CO</w:t>
            </w:r>
            <w:r w:rsidRPr="00B9311B">
              <w:rPr>
                <w:rFonts w:cs="Arial"/>
                <w:sz w:val="20"/>
                <w:szCs w:val="20"/>
                <w:vertAlign w:val="subscript"/>
              </w:rPr>
              <w:t>2</w:t>
            </w:r>
            <w:r>
              <w:rPr>
                <w:rFonts w:cs="Arial"/>
                <w:sz w:val="20"/>
                <w:szCs w:val="20"/>
                <w:vertAlign w:val="subscript"/>
              </w:rPr>
              <w:t>e</w:t>
            </w:r>
            <w:r w:rsidRPr="00B9311B">
              <w:rPr>
                <w:rFonts w:cs="Arial"/>
                <w:b/>
                <w:sz w:val="20"/>
                <w:szCs w:val="20"/>
              </w:rPr>
              <w:t>/person)</w:t>
            </w:r>
          </w:p>
        </w:tc>
      </w:tr>
      <w:tr w:rsidR="00CB4918" w:rsidRPr="00B9311B" w14:paraId="3A9411B5" w14:textId="77777777" w:rsidTr="00CB5DED">
        <w:tc>
          <w:tcPr>
            <w:tcW w:w="0" w:type="auto"/>
            <w:tcBorders>
              <w:bottom w:val="single" w:sz="4" w:space="0" w:color="auto"/>
            </w:tcBorders>
            <w:shd w:val="clear" w:color="auto" w:fill="auto"/>
            <w:vAlign w:val="center"/>
          </w:tcPr>
          <w:p w14:paraId="42464BC4" w14:textId="77777777" w:rsidR="00CB4918" w:rsidRPr="00B9311B" w:rsidRDefault="00CB4918" w:rsidP="00CB5DED">
            <w:pPr>
              <w:jc w:val="center"/>
              <w:rPr>
                <w:rFonts w:cs="Arial"/>
                <w:sz w:val="20"/>
                <w:szCs w:val="20"/>
              </w:rPr>
            </w:pPr>
            <w:r w:rsidRPr="00B9311B">
              <w:rPr>
                <w:rFonts w:cs="Arial"/>
                <w:sz w:val="20"/>
                <w:szCs w:val="20"/>
              </w:rPr>
              <w:t>2004</w:t>
            </w:r>
          </w:p>
        </w:tc>
        <w:tc>
          <w:tcPr>
            <w:tcW w:w="0" w:type="auto"/>
            <w:tcBorders>
              <w:bottom w:val="single" w:sz="4" w:space="0" w:color="auto"/>
            </w:tcBorders>
            <w:shd w:val="clear" w:color="auto" w:fill="auto"/>
            <w:vAlign w:val="center"/>
          </w:tcPr>
          <w:p w14:paraId="1DD584EF" w14:textId="77777777" w:rsidR="00CB4918" w:rsidRPr="00B9311B" w:rsidRDefault="00CB4918" w:rsidP="00CB5DED">
            <w:pPr>
              <w:jc w:val="center"/>
              <w:rPr>
                <w:rFonts w:cs="Arial"/>
                <w:sz w:val="20"/>
                <w:szCs w:val="20"/>
              </w:rPr>
            </w:pPr>
            <w:r w:rsidRPr="00B9311B">
              <w:rPr>
                <w:rFonts w:cs="Arial"/>
                <w:sz w:val="20"/>
                <w:szCs w:val="20"/>
              </w:rPr>
              <w:t>19.89</w:t>
            </w:r>
          </w:p>
        </w:tc>
        <w:tc>
          <w:tcPr>
            <w:tcW w:w="0" w:type="auto"/>
            <w:tcBorders>
              <w:bottom w:val="single" w:sz="4" w:space="0" w:color="auto"/>
            </w:tcBorders>
            <w:shd w:val="clear" w:color="auto" w:fill="auto"/>
            <w:vAlign w:val="center"/>
          </w:tcPr>
          <w:p w14:paraId="2359796D" w14:textId="77777777" w:rsidR="00CB4918" w:rsidRPr="00B9311B" w:rsidRDefault="00CB4918" w:rsidP="00CB5DED">
            <w:pPr>
              <w:jc w:val="center"/>
              <w:rPr>
                <w:rFonts w:cs="Arial"/>
                <w:sz w:val="20"/>
                <w:szCs w:val="20"/>
              </w:rPr>
            </w:pPr>
            <w:r w:rsidRPr="00B9311B">
              <w:rPr>
                <w:rFonts w:cs="Arial"/>
                <w:sz w:val="20"/>
                <w:szCs w:val="20"/>
              </w:rPr>
              <w:t>16.31</w:t>
            </w:r>
          </w:p>
        </w:tc>
      </w:tr>
      <w:tr w:rsidR="00CB4918" w:rsidRPr="00B9311B" w14:paraId="5ADCCBE3" w14:textId="77777777" w:rsidTr="00CB5DED">
        <w:tc>
          <w:tcPr>
            <w:tcW w:w="0" w:type="auto"/>
            <w:shd w:val="clear" w:color="auto" w:fill="F2F2F2"/>
            <w:vAlign w:val="center"/>
          </w:tcPr>
          <w:p w14:paraId="5D780EB0" w14:textId="77777777" w:rsidR="00CB4918" w:rsidRPr="00B9311B" w:rsidRDefault="00CB4918" w:rsidP="00CB5DED">
            <w:pPr>
              <w:jc w:val="center"/>
              <w:rPr>
                <w:rFonts w:cs="Arial"/>
                <w:sz w:val="20"/>
                <w:szCs w:val="20"/>
              </w:rPr>
            </w:pPr>
            <w:r w:rsidRPr="00B9311B">
              <w:rPr>
                <w:rFonts w:cs="Arial"/>
                <w:sz w:val="20"/>
                <w:szCs w:val="20"/>
              </w:rPr>
              <w:t>2014</w:t>
            </w:r>
          </w:p>
        </w:tc>
        <w:tc>
          <w:tcPr>
            <w:tcW w:w="0" w:type="auto"/>
            <w:shd w:val="clear" w:color="auto" w:fill="F2F2F2"/>
            <w:vAlign w:val="center"/>
          </w:tcPr>
          <w:p w14:paraId="61D87025" w14:textId="77777777" w:rsidR="00CB4918" w:rsidRPr="00B9311B" w:rsidRDefault="00CB4918" w:rsidP="00CB5DED">
            <w:pPr>
              <w:jc w:val="center"/>
              <w:rPr>
                <w:rFonts w:cs="Arial"/>
                <w:sz w:val="20"/>
                <w:szCs w:val="20"/>
              </w:rPr>
            </w:pPr>
            <w:r w:rsidRPr="00B9311B">
              <w:rPr>
                <w:rFonts w:cs="Arial"/>
                <w:sz w:val="20"/>
                <w:szCs w:val="20"/>
              </w:rPr>
              <w:t>16.28</w:t>
            </w:r>
          </w:p>
        </w:tc>
        <w:tc>
          <w:tcPr>
            <w:tcW w:w="0" w:type="auto"/>
            <w:shd w:val="clear" w:color="auto" w:fill="F2F2F2"/>
            <w:vAlign w:val="center"/>
          </w:tcPr>
          <w:p w14:paraId="47531F19" w14:textId="77777777" w:rsidR="00CB4918" w:rsidRPr="00B9311B" w:rsidRDefault="00CB4918" w:rsidP="00CB5DED">
            <w:pPr>
              <w:jc w:val="center"/>
              <w:rPr>
                <w:rFonts w:cs="Arial"/>
                <w:sz w:val="20"/>
                <w:szCs w:val="20"/>
              </w:rPr>
            </w:pPr>
            <w:r w:rsidRPr="00B9311B">
              <w:rPr>
                <w:rFonts w:cs="Arial"/>
                <w:sz w:val="20"/>
                <w:szCs w:val="20"/>
              </w:rPr>
              <w:t>11.36</w:t>
            </w:r>
          </w:p>
        </w:tc>
      </w:tr>
      <w:tr w:rsidR="00CB4918" w:rsidRPr="00B9311B" w14:paraId="342BC568" w14:textId="77777777" w:rsidTr="00CB5DED">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3869A15" w14:textId="77777777" w:rsidR="00CB4918" w:rsidRPr="00B9311B" w:rsidRDefault="00CB4918" w:rsidP="00CB5DED">
            <w:pPr>
              <w:jc w:val="center"/>
              <w:rPr>
                <w:rFonts w:cs="Arial"/>
                <w:sz w:val="20"/>
                <w:szCs w:val="20"/>
              </w:rPr>
            </w:pPr>
            <w:r w:rsidRPr="00B9311B">
              <w:rPr>
                <w:rFonts w:cs="Arial"/>
                <w:sz w:val="20"/>
                <w:szCs w:val="20"/>
              </w:rPr>
              <w:t>Reduction</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DD1F092" w14:textId="77777777" w:rsidR="00CB4918" w:rsidRPr="00B9311B" w:rsidRDefault="00CB4918" w:rsidP="00CB5DED">
            <w:pPr>
              <w:jc w:val="center"/>
              <w:rPr>
                <w:rFonts w:cs="Arial"/>
                <w:sz w:val="20"/>
                <w:szCs w:val="20"/>
              </w:rPr>
            </w:pPr>
            <w:r w:rsidRPr="00B9311B">
              <w:rPr>
                <w:rFonts w:cs="Arial"/>
                <w:sz w:val="20"/>
                <w:szCs w:val="20"/>
              </w:rPr>
              <w:t>18.15%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A06DBD1" w14:textId="77777777" w:rsidR="00CB4918" w:rsidRPr="00B9311B" w:rsidRDefault="00CB4918" w:rsidP="00CB5DED">
            <w:pPr>
              <w:jc w:val="center"/>
              <w:rPr>
                <w:rFonts w:cs="Arial"/>
                <w:sz w:val="20"/>
                <w:szCs w:val="20"/>
              </w:rPr>
            </w:pPr>
            <w:r w:rsidRPr="00B9311B">
              <w:rPr>
                <w:rFonts w:cs="Arial"/>
                <w:sz w:val="20"/>
                <w:szCs w:val="20"/>
              </w:rPr>
              <w:t>30.32%</w:t>
            </w:r>
          </w:p>
        </w:tc>
      </w:tr>
    </w:tbl>
    <w:p w14:paraId="0E40F084" w14:textId="77777777" w:rsidR="00CB4918" w:rsidRDefault="00CB4918" w:rsidP="00CB4918">
      <w:pPr>
        <w:rPr>
          <w:rFonts w:cs="Arial"/>
          <w:b/>
          <w:sz w:val="20"/>
          <w:szCs w:val="20"/>
        </w:rPr>
      </w:pPr>
    </w:p>
    <w:p w14:paraId="6C57A13C" w14:textId="77777777" w:rsidR="00CB4918" w:rsidRPr="00000A0D" w:rsidRDefault="00CB4918" w:rsidP="00770384">
      <w:pPr>
        <w:jc w:val="both"/>
        <w:rPr>
          <w:rFonts w:cs="Arial"/>
          <w:sz w:val="20"/>
          <w:szCs w:val="20"/>
        </w:rPr>
      </w:pPr>
      <w:r>
        <w:rPr>
          <w:rFonts w:cs="Arial"/>
          <w:b/>
          <w:sz w:val="20"/>
          <w:szCs w:val="20"/>
        </w:rPr>
        <w:t>Table 3</w:t>
      </w:r>
      <w:r w:rsidRPr="00000A0D">
        <w:rPr>
          <w:rFonts w:cs="Arial"/>
          <w:b/>
          <w:sz w:val="20"/>
          <w:szCs w:val="20"/>
        </w:rPr>
        <w:t xml:space="preserve">: Comparison of Government Operations GHG Emissions from 2004-2014. </w:t>
      </w:r>
      <w:r w:rsidRPr="00000A0D">
        <w:rPr>
          <w:rFonts w:cs="Arial"/>
          <w:sz w:val="20"/>
          <w:szCs w:val="20"/>
        </w:rPr>
        <w:t xml:space="preserve">All emissions are measured in </w:t>
      </w:r>
      <w:r w:rsidRPr="00000A0D">
        <w:rPr>
          <w:rFonts w:cs="Arial"/>
          <w:bCs/>
          <w:sz w:val="20"/>
          <w:szCs w:val="20"/>
        </w:rPr>
        <w:t>metric tons of CO</w:t>
      </w:r>
      <w:r w:rsidRPr="00000A0D">
        <w:rPr>
          <w:rFonts w:cs="Arial"/>
          <w:bCs/>
          <w:sz w:val="20"/>
          <w:szCs w:val="20"/>
          <w:vertAlign w:val="subscript"/>
        </w:rPr>
        <w:t>2</w:t>
      </w:r>
      <w:r w:rsidRPr="00000A0D">
        <w:rPr>
          <w:rFonts w:cs="Arial"/>
          <w:bCs/>
          <w:sz w:val="20"/>
          <w:szCs w:val="20"/>
        </w:rPr>
        <w:t>e. The vehicle fleet sector emissions in 2004 a</w:t>
      </w:r>
      <w:r w:rsidR="00770384">
        <w:rPr>
          <w:rFonts w:cs="Arial"/>
          <w:bCs/>
          <w:sz w:val="20"/>
          <w:szCs w:val="20"/>
        </w:rPr>
        <w:t>nd 2010 include the Emeryville Fire D</w:t>
      </w:r>
      <w:r w:rsidRPr="00000A0D">
        <w:rPr>
          <w:rFonts w:cs="Arial"/>
          <w:bCs/>
          <w:sz w:val="20"/>
          <w:szCs w:val="20"/>
        </w:rPr>
        <w:t xml:space="preserve">epartment while emissions in 2014 do not. No data is available for transit fleet, employee commute, and fugitive emissions from refrigerants and generators in 2004.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96"/>
        <w:gridCol w:w="813"/>
        <w:gridCol w:w="900"/>
        <w:gridCol w:w="791"/>
        <w:gridCol w:w="1300"/>
        <w:gridCol w:w="866"/>
        <w:gridCol w:w="1137"/>
        <w:gridCol w:w="1192"/>
        <w:gridCol w:w="704"/>
      </w:tblGrid>
      <w:tr w:rsidR="00CB4918" w:rsidRPr="00000A0D" w14:paraId="40042FD9" w14:textId="77777777" w:rsidTr="00CB5DED">
        <w:trPr>
          <w:trHeight w:val="1215"/>
          <w:jc w:val="center"/>
        </w:trPr>
        <w:tc>
          <w:tcPr>
            <w:tcW w:w="0" w:type="auto"/>
            <w:shd w:val="clear" w:color="auto" w:fill="D9D9D9"/>
            <w:vAlign w:val="center"/>
            <w:hideMark/>
          </w:tcPr>
          <w:p w14:paraId="78D17E38" w14:textId="77777777" w:rsidR="00CB4918" w:rsidRPr="00000A0D" w:rsidRDefault="00CB4918" w:rsidP="00CB5DED">
            <w:pPr>
              <w:jc w:val="center"/>
              <w:rPr>
                <w:rFonts w:cs="Arial"/>
                <w:b/>
                <w:bCs/>
                <w:color w:val="222222"/>
                <w:sz w:val="20"/>
              </w:rPr>
            </w:pPr>
            <w:r w:rsidRPr="00000A0D">
              <w:rPr>
                <w:rFonts w:cs="Arial"/>
                <w:b/>
                <w:bCs/>
                <w:color w:val="222222"/>
                <w:sz w:val="20"/>
              </w:rPr>
              <w:t>Year</w:t>
            </w:r>
          </w:p>
        </w:tc>
        <w:tc>
          <w:tcPr>
            <w:tcW w:w="0" w:type="auto"/>
            <w:shd w:val="clear" w:color="auto" w:fill="D9D9D9"/>
            <w:vAlign w:val="center"/>
            <w:hideMark/>
          </w:tcPr>
          <w:p w14:paraId="17E41B43" w14:textId="77777777" w:rsidR="00CB4918" w:rsidRPr="00000A0D" w:rsidRDefault="00CB4918" w:rsidP="00CB5DED">
            <w:pPr>
              <w:jc w:val="center"/>
              <w:rPr>
                <w:rFonts w:cs="Arial"/>
                <w:b/>
                <w:bCs/>
                <w:color w:val="222222"/>
                <w:sz w:val="20"/>
              </w:rPr>
            </w:pPr>
            <w:r w:rsidRPr="00000A0D">
              <w:rPr>
                <w:rFonts w:cs="Arial"/>
                <w:b/>
                <w:bCs/>
                <w:color w:val="222222"/>
                <w:sz w:val="20"/>
              </w:rPr>
              <w:t>Building Energy</w:t>
            </w:r>
          </w:p>
        </w:tc>
        <w:tc>
          <w:tcPr>
            <w:tcW w:w="0" w:type="auto"/>
            <w:shd w:val="clear" w:color="auto" w:fill="D9D9D9"/>
            <w:vAlign w:val="center"/>
            <w:hideMark/>
          </w:tcPr>
          <w:p w14:paraId="24F6A8FE" w14:textId="77777777" w:rsidR="00CB4918" w:rsidRPr="00000A0D" w:rsidRDefault="00CB4918" w:rsidP="00CB5DED">
            <w:pPr>
              <w:jc w:val="center"/>
              <w:rPr>
                <w:rFonts w:cs="Arial"/>
                <w:b/>
                <w:bCs/>
                <w:color w:val="222222"/>
                <w:sz w:val="20"/>
              </w:rPr>
            </w:pPr>
            <w:r w:rsidRPr="00000A0D">
              <w:rPr>
                <w:rFonts w:cs="Arial"/>
                <w:b/>
                <w:bCs/>
                <w:color w:val="222222"/>
                <w:sz w:val="20"/>
              </w:rPr>
              <w:t>Street &amp; Traffic Lights</w:t>
            </w:r>
          </w:p>
        </w:tc>
        <w:tc>
          <w:tcPr>
            <w:tcW w:w="0" w:type="auto"/>
            <w:shd w:val="clear" w:color="auto" w:fill="D9D9D9"/>
            <w:vAlign w:val="center"/>
            <w:hideMark/>
          </w:tcPr>
          <w:p w14:paraId="25BDCEF9" w14:textId="77777777" w:rsidR="00CB4918" w:rsidRPr="00000A0D" w:rsidRDefault="00CB4918" w:rsidP="00CB5DED">
            <w:pPr>
              <w:jc w:val="center"/>
              <w:rPr>
                <w:rFonts w:cs="Arial"/>
                <w:b/>
                <w:bCs/>
                <w:color w:val="222222"/>
                <w:sz w:val="20"/>
              </w:rPr>
            </w:pPr>
            <w:r w:rsidRPr="00000A0D">
              <w:rPr>
                <w:rFonts w:cs="Arial"/>
                <w:b/>
                <w:bCs/>
                <w:color w:val="222222"/>
                <w:sz w:val="20"/>
              </w:rPr>
              <w:t>Vehicle Fleet</w:t>
            </w:r>
          </w:p>
        </w:tc>
        <w:tc>
          <w:tcPr>
            <w:tcW w:w="0" w:type="auto"/>
            <w:shd w:val="clear" w:color="auto" w:fill="D9D9D9"/>
            <w:vAlign w:val="center"/>
            <w:hideMark/>
          </w:tcPr>
          <w:p w14:paraId="7DB9F0DB" w14:textId="77777777" w:rsidR="00CB4918" w:rsidRPr="00000A0D" w:rsidRDefault="00CB4918" w:rsidP="00CB5DED">
            <w:pPr>
              <w:jc w:val="center"/>
              <w:rPr>
                <w:rFonts w:cs="Arial"/>
                <w:b/>
                <w:bCs/>
                <w:color w:val="222222"/>
                <w:sz w:val="20"/>
              </w:rPr>
            </w:pPr>
            <w:r w:rsidRPr="00000A0D">
              <w:rPr>
                <w:rFonts w:cs="Arial"/>
                <w:b/>
                <w:bCs/>
                <w:color w:val="222222"/>
                <w:sz w:val="20"/>
              </w:rPr>
              <w:t>Solid Waste</w:t>
            </w:r>
          </w:p>
        </w:tc>
        <w:tc>
          <w:tcPr>
            <w:tcW w:w="0" w:type="auto"/>
            <w:shd w:val="clear" w:color="auto" w:fill="D9D9D9"/>
            <w:vAlign w:val="center"/>
            <w:hideMark/>
          </w:tcPr>
          <w:p w14:paraId="615A0FEC" w14:textId="77777777" w:rsidR="00CB4918" w:rsidRPr="00000A0D" w:rsidRDefault="00CB4918" w:rsidP="00CB5DED">
            <w:pPr>
              <w:jc w:val="center"/>
              <w:rPr>
                <w:rFonts w:cs="Arial"/>
                <w:b/>
                <w:bCs/>
                <w:color w:val="222222"/>
                <w:sz w:val="20"/>
              </w:rPr>
            </w:pPr>
            <w:r w:rsidRPr="00000A0D">
              <w:rPr>
                <w:rFonts w:cs="Arial"/>
                <w:b/>
                <w:bCs/>
                <w:color w:val="222222"/>
                <w:sz w:val="20"/>
              </w:rPr>
              <w:t>Water &amp; Wastewater</w:t>
            </w:r>
          </w:p>
        </w:tc>
        <w:tc>
          <w:tcPr>
            <w:tcW w:w="0" w:type="auto"/>
            <w:shd w:val="clear" w:color="auto" w:fill="D9D9D9"/>
            <w:vAlign w:val="center"/>
            <w:hideMark/>
          </w:tcPr>
          <w:p w14:paraId="5721AF11" w14:textId="77777777" w:rsidR="00CB4918" w:rsidRPr="00000A0D" w:rsidRDefault="00CB4918" w:rsidP="00CB5DED">
            <w:pPr>
              <w:jc w:val="center"/>
              <w:rPr>
                <w:rFonts w:cs="Arial"/>
                <w:b/>
                <w:bCs/>
                <w:color w:val="222222"/>
                <w:sz w:val="20"/>
              </w:rPr>
            </w:pPr>
            <w:r w:rsidRPr="00000A0D">
              <w:rPr>
                <w:rFonts w:cs="Arial"/>
                <w:b/>
                <w:bCs/>
                <w:color w:val="222222"/>
                <w:sz w:val="20"/>
              </w:rPr>
              <w:t>Transit Fleet</w:t>
            </w:r>
          </w:p>
        </w:tc>
        <w:tc>
          <w:tcPr>
            <w:tcW w:w="0" w:type="auto"/>
            <w:shd w:val="clear" w:color="auto" w:fill="D9D9D9"/>
            <w:vAlign w:val="center"/>
            <w:hideMark/>
          </w:tcPr>
          <w:p w14:paraId="42461351" w14:textId="77777777" w:rsidR="00CB4918" w:rsidRPr="00000A0D" w:rsidRDefault="00CB4918" w:rsidP="00CB5DED">
            <w:pPr>
              <w:jc w:val="center"/>
              <w:rPr>
                <w:rFonts w:cs="Arial"/>
                <w:b/>
                <w:bCs/>
                <w:color w:val="222222"/>
                <w:sz w:val="20"/>
              </w:rPr>
            </w:pPr>
            <w:r w:rsidRPr="00000A0D">
              <w:rPr>
                <w:rFonts w:cs="Arial"/>
                <w:b/>
                <w:bCs/>
                <w:color w:val="222222"/>
                <w:sz w:val="20"/>
              </w:rPr>
              <w:t>Employee Commute</w:t>
            </w:r>
          </w:p>
        </w:tc>
        <w:tc>
          <w:tcPr>
            <w:tcW w:w="0" w:type="auto"/>
            <w:shd w:val="clear" w:color="auto" w:fill="D9D9D9"/>
            <w:vAlign w:val="center"/>
            <w:hideMark/>
          </w:tcPr>
          <w:p w14:paraId="155FD2BC" w14:textId="77777777" w:rsidR="00CB4918" w:rsidRPr="00000A0D" w:rsidRDefault="00CB4918" w:rsidP="00CB5DED">
            <w:pPr>
              <w:jc w:val="center"/>
              <w:rPr>
                <w:rFonts w:cs="Arial"/>
                <w:b/>
                <w:bCs/>
                <w:color w:val="222222"/>
                <w:sz w:val="20"/>
              </w:rPr>
            </w:pPr>
            <w:r w:rsidRPr="00000A0D">
              <w:rPr>
                <w:rFonts w:cs="Arial"/>
                <w:b/>
                <w:bCs/>
                <w:color w:val="222222"/>
                <w:sz w:val="20"/>
              </w:rPr>
              <w:t>Fugitive Emissions</w:t>
            </w:r>
          </w:p>
        </w:tc>
        <w:tc>
          <w:tcPr>
            <w:tcW w:w="0" w:type="auto"/>
            <w:shd w:val="clear" w:color="auto" w:fill="D9D9D9"/>
            <w:noWrap/>
            <w:vAlign w:val="center"/>
            <w:hideMark/>
          </w:tcPr>
          <w:p w14:paraId="182434A4" w14:textId="77777777" w:rsidR="00CB4918" w:rsidRPr="00000A0D" w:rsidRDefault="00CB4918" w:rsidP="00CB5DED">
            <w:pPr>
              <w:jc w:val="center"/>
              <w:rPr>
                <w:rFonts w:cs="Arial"/>
                <w:b/>
                <w:bCs/>
                <w:color w:val="000000"/>
                <w:sz w:val="20"/>
              </w:rPr>
            </w:pPr>
            <w:r w:rsidRPr="00000A0D">
              <w:rPr>
                <w:rFonts w:cs="Arial"/>
                <w:b/>
                <w:bCs/>
                <w:color w:val="000000"/>
                <w:sz w:val="20"/>
              </w:rPr>
              <w:t>Total</w:t>
            </w:r>
          </w:p>
        </w:tc>
      </w:tr>
      <w:tr w:rsidR="00CB4918" w:rsidRPr="00000A0D" w14:paraId="56C01D46" w14:textId="77777777" w:rsidTr="00CB5DED">
        <w:trPr>
          <w:trHeight w:val="315"/>
          <w:jc w:val="center"/>
        </w:trPr>
        <w:tc>
          <w:tcPr>
            <w:tcW w:w="0" w:type="auto"/>
            <w:tcBorders>
              <w:bottom w:val="single" w:sz="4" w:space="0" w:color="auto"/>
            </w:tcBorders>
            <w:shd w:val="clear" w:color="000000" w:fill="FFFFFF"/>
            <w:vAlign w:val="center"/>
            <w:hideMark/>
          </w:tcPr>
          <w:p w14:paraId="7BAC817A" w14:textId="77777777" w:rsidR="00CB4918" w:rsidRPr="00000A0D" w:rsidRDefault="00CB4918" w:rsidP="00CB5DED">
            <w:pPr>
              <w:jc w:val="center"/>
              <w:rPr>
                <w:rFonts w:cs="Arial"/>
                <w:color w:val="222222"/>
                <w:sz w:val="20"/>
              </w:rPr>
            </w:pPr>
            <w:r w:rsidRPr="00000A0D">
              <w:rPr>
                <w:rFonts w:cs="Arial"/>
                <w:color w:val="222222"/>
                <w:sz w:val="20"/>
              </w:rPr>
              <w:t>2004</w:t>
            </w:r>
          </w:p>
        </w:tc>
        <w:tc>
          <w:tcPr>
            <w:tcW w:w="0" w:type="auto"/>
            <w:tcBorders>
              <w:bottom w:val="single" w:sz="4" w:space="0" w:color="auto"/>
            </w:tcBorders>
            <w:shd w:val="clear" w:color="000000" w:fill="FFFFFF"/>
            <w:vAlign w:val="center"/>
            <w:hideMark/>
          </w:tcPr>
          <w:p w14:paraId="23F029DF" w14:textId="77777777" w:rsidR="00CB4918" w:rsidRPr="00000A0D" w:rsidRDefault="00CB4918" w:rsidP="00CB5DED">
            <w:pPr>
              <w:jc w:val="center"/>
              <w:rPr>
                <w:rFonts w:cs="Arial"/>
                <w:color w:val="222222"/>
                <w:sz w:val="20"/>
              </w:rPr>
            </w:pPr>
            <w:r w:rsidRPr="00000A0D">
              <w:rPr>
                <w:rFonts w:cs="Arial"/>
                <w:color w:val="222222"/>
                <w:sz w:val="20"/>
              </w:rPr>
              <w:t>427</w:t>
            </w:r>
          </w:p>
        </w:tc>
        <w:tc>
          <w:tcPr>
            <w:tcW w:w="0" w:type="auto"/>
            <w:tcBorders>
              <w:bottom w:val="single" w:sz="4" w:space="0" w:color="auto"/>
            </w:tcBorders>
            <w:shd w:val="clear" w:color="000000" w:fill="FFFFFF"/>
            <w:vAlign w:val="center"/>
            <w:hideMark/>
          </w:tcPr>
          <w:p w14:paraId="4F830FED" w14:textId="77777777" w:rsidR="00CB4918" w:rsidRPr="00000A0D" w:rsidRDefault="00CB4918" w:rsidP="00CB5DED">
            <w:pPr>
              <w:jc w:val="center"/>
              <w:rPr>
                <w:rFonts w:cs="Arial"/>
                <w:color w:val="222222"/>
                <w:sz w:val="20"/>
              </w:rPr>
            </w:pPr>
            <w:r w:rsidRPr="00000A0D">
              <w:rPr>
                <w:rFonts w:cs="Arial"/>
                <w:color w:val="222222"/>
                <w:sz w:val="20"/>
              </w:rPr>
              <w:t>313</w:t>
            </w:r>
          </w:p>
        </w:tc>
        <w:tc>
          <w:tcPr>
            <w:tcW w:w="0" w:type="auto"/>
            <w:tcBorders>
              <w:bottom w:val="single" w:sz="4" w:space="0" w:color="auto"/>
            </w:tcBorders>
            <w:shd w:val="clear" w:color="000000" w:fill="FFFFFF"/>
            <w:vAlign w:val="center"/>
            <w:hideMark/>
          </w:tcPr>
          <w:p w14:paraId="7206CE9C" w14:textId="77777777" w:rsidR="00CB4918" w:rsidRPr="00000A0D" w:rsidRDefault="00CB4918" w:rsidP="00CB5DED">
            <w:pPr>
              <w:jc w:val="center"/>
              <w:rPr>
                <w:rFonts w:cs="Arial"/>
                <w:color w:val="222222"/>
                <w:sz w:val="20"/>
              </w:rPr>
            </w:pPr>
            <w:r w:rsidRPr="00000A0D">
              <w:rPr>
                <w:rFonts w:cs="Arial"/>
                <w:color w:val="222222"/>
                <w:sz w:val="20"/>
              </w:rPr>
              <w:t>414</w:t>
            </w:r>
          </w:p>
        </w:tc>
        <w:tc>
          <w:tcPr>
            <w:tcW w:w="0" w:type="auto"/>
            <w:tcBorders>
              <w:bottom w:val="single" w:sz="4" w:space="0" w:color="auto"/>
            </w:tcBorders>
            <w:shd w:val="clear" w:color="000000" w:fill="FFFFFF"/>
            <w:vAlign w:val="center"/>
            <w:hideMark/>
          </w:tcPr>
          <w:p w14:paraId="0A313CDF" w14:textId="77777777" w:rsidR="00CB4918" w:rsidRPr="00000A0D" w:rsidRDefault="00CB4918" w:rsidP="00CB5DED">
            <w:pPr>
              <w:jc w:val="center"/>
              <w:rPr>
                <w:rFonts w:cs="Arial"/>
                <w:color w:val="222222"/>
                <w:sz w:val="20"/>
              </w:rPr>
            </w:pPr>
            <w:r w:rsidRPr="00000A0D">
              <w:rPr>
                <w:rFonts w:cs="Arial"/>
                <w:color w:val="222222"/>
                <w:sz w:val="20"/>
              </w:rPr>
              <w:t>160</w:t>
            </w:r>
          </w:p>
        </w:tc>
        <w:tc>
          <w:tcPr>
            <w:tcW w:w="0" w:type="auto"/>
            <w:tcBorders>
              <w:bottom w:val="single" w:sz="4" w:space="0" w:color="auto"/>
            </w:tcBorders>
            <w:shd w:val="clear" w:color="000000" w:fill="FFFFFF"/>
            <w:vAlign w:val="center"/>
            <w:hideMark/>
          </w:tcPr>
          <w:p w14:paraId="1DF8F6C7" w14:textId="77777777" w:rsidR="00CB4918" w:rsidRPr="00000A0D" w:rsidRDefault="00CB4918" w:rsidP="00CB5DED">
            <w:pPr>
              <w:jc w:val="center"/>
              <w:rPr>
                <w:rFonts w:cs="Arial"/>
                <w:color w:val="222222"/>
                <w:sz w:val="20"/>
              </w:rPr>
            </w:pPr>
            <w:r w:rsidRPr="00000A0D">
              <w:rPr>
                <w:rFonts w:cs="Arial"/>
                <w:color w:val="222222"/>
                <w:sz w:val="20"/>
              </w:rPr>
              <w:t>14</w:t>
            </w:r>
          </w:p>
        </w:tc>
        <w:tc>
          <w:tcPr>
            <w:tcW w:w="0" w:type="auto"/>
            <w:tcBorders>
              <w:bottom w:val="single" w:sz="4" w:space="0" w:color="auto"/>
            </w:tcBorders>
            <w:shd w:val="clear" w:color="000000" w:fill="FFFFFF"/>
            <w:vAlign w:val="center"/>
            <w:hideMark/>
          </w:tcPr>
          <w:p w14:paraId="731FF9DF" w14:textId="77777777" w:rsidR="00CB4918" w:rsidRPr="00000A0D" w:rsidRDefault="00CB4918" w:rsidP="00CB5DED">
            <w:pPr>
              <w:jc w:val="center"/>
              <w:rPr>
                <w:rFonts w:cs="Arial"/>
                <w:color w:val="222222"/>
                <w:sz w:val="20"/>
              </w:rPr>
            </w:pPr>
            <w:r w:rsidRPr="00000A0D">
              <w:rPr>
                <w:rFonts w:cs="Arial"/>
                <w:color w:val="222222"/>
                <w:sz w:val="20"/>
              </w:rPr>
              <w:t>-</w:t>
            </w:r>
          </w:p>
        </w:tc>
        <w:tc>
          <w:tcPr>
            <w:tcW w:w="0" w:type="auto"/>
            <w:tcBorders>
              <w:bottom w:val="single" w:sz="4" w:space="0" w:color="auto"/>
            </w:tcBorders>
            <w:shd w:val="clear" w:color="000000" w:fill="FFFFFF"/>
            <w:vAlign w:val="center"/>
            <w:hideMark/>
          </w:tcPr>
          <w:p w14:paraId="2CC1C817" w14:textId="77777777" w:rsidR="00CB4918" w:rsidRPr="00000A0D" w:rsidRDefault="00CB4918" w:rsidP="00CB5DED">
            <w:pPr>
              <w:jc w:val="center"/>
              <w:rPr>
                <w:rFonts w:cs="Arial"/>
                <w:color w:val="222222"/>
                <w:sz w:val="20"/>
              </w:rPr>
            </w:pPr>
            <w:r w:rsidRPr="00000A0D">
              <w:rPr>
                <w:rFonts w:cs="Arial"/>
                <w:color w:val="222222"/>
                <w:sz w:val="20"/>
              </w:rPr>
              <w:t>-</w:t>
            </w:r>
          </w:p>
        </w:tc>
        <w:tc>
          <w:tcPr>
            <w:tcW w:w="0" w:type="auto"/>
            <w:tcBorders>
              <w:bottom w:val="single" w:sz="4" w:space="0" w:color="auto"/>
            </w:tcBorders>
            <w:shd w:val="clear" w:color="000000" w:fill="FFFFFF"/>
            <w:vAlign w:val="center"/>
            <w:hideMark/>
          </w:tcPr>
          <w:p w14:paraId="2125D95F" w14:textId="77777777" w:rsidR="00CB4918" w:rsidRPr="00000A0D" w:rsidRDefault="00CB4918" w:rsidP="00CB5DED">
            <w:pPr>
              <w:jc w:val="center"/>
              <w:rPr>
                <w:rFonts w:cs="Arial"/>
                <w:color w:val="222222"/>
                <w:sz w:val="20"/>
              </w:rPr>
            </w:pPr>
            <w:r w:rsidRPr="00000A0D">
              <w:rPr>
                <w:rFonts w:cs="Arial"/>
                <w:color w:val="222222"/>
                <w:sz w:val="20"/>
              </w:rPr>
              <w:t>-</w:t>
            </w:r>
          </w:p>
        </w:tc>
        <w:tc>
          <w:tcPr>
            <w:tcW w:w="0" w:type="auto"/>
            <w:tcBorders>
              <w:bottom w:val="single" w:sz="4" w:space="0" w:color="auto"/>
            </w:tcBorders>
            <w:shd w:val="clear" w:color="auto" w:fill="auto"/>
            <w:noWrap/>
            <w:vAlign w:val="center"/>
            <w:hideMark/>
          </w:tcPr>
          <w:p w14:paraId="4410E222" w14:textId="77777777" w:rsidR="00CB4918" w:rsidRPr="00000A0D" w:rsidRDefault="00CB4918" w:rsidP="00CB5DED">
            <w:pPr>
              <w:jc w:val="center"/>
              <w:rPr>
                <w:rFonts w:cs="Arial"/>
                <w:color w:val="000000"/>
                <w:sz w:val="20"/>
              </w:rPr>
            </w:pPr>
            <w:r w:rsidRPr="00000A0D">
              <w:rPr>
                <w:rFonts w:cs="Arial"/>
                <w:color w:val="000000"/>
                <w:sz w:val="20"/>
              </w:rPr>
              <w:t>1,328</w:t>
            </w:r>
          </w:p>
        </w:tc>
      </w:tr>
      <w:tr w:rsidR="00CB4918" w:rsidRPr="00000A0D" w14:paraId="05696D25" w14:textId="77777777" w:rsidTr="00CB5DED">
        <w:trPr>
          <w:trHeight w:val="315"/>
          <w:jc w:val="center"/>
        </w:trPr>
        <w:tc>
          <w:tcPr>
            <w:tcW w:w="0" w:type="auto"/>
            <w:shd w:val="clear" w:color="auto" w:fill="F2F2F2"/>
            <w:vAlign w:val="center"/>
            <w:hideMark/>
          </w:tcPr>
          <w:p w14:paraId="232FE7FD" w14:textId="77777777" w:rsidR="00CB4918" w:rsidRPr="00000A0D" w:rsidRDefault="00CB4918" w:rsidP="00CB5DED">
            <w:pPr>
              <w:jc w:val="center"/>
              <w:rPr>
                <w:rFonts w:cs="Arial"/>
                <w:color w:val="222222"/>
                <w:sz w:val="20"/>
              </w:rPr>
            </w:pPr>
            <w:r w:rsidRPr="00000A0D">
              <w:rPr>
                <w:rFonts w:cs="Arial"/>
                <w:color w:val="222222"/>
                <w:sz w:val="20"/>
              </w:rPr>
              <w:t>2010</w:t>
            </w:r>
          </w:p>
        </w:tc>
        <w:tc>
          <w:tcPr>
            <w:tcW w:w="0" w:type="auto"/>
            <w:shd w:val="clear" w:color="auto" w:fill="F2F2F2"/>
            <w:vAlign w:val="center"/>
            <w:hideMark/>
          </w:tcPr>
          <w:p w14:paraId="7FE39B6A" w14:textId="77777777" w:rsidR="00CB4918" w:rsidRPr="00000A0D" w:rsidRDefault="00CB4918" w:rsidP="00CB5DED">
            <w:pPr>
              <w:jc w:val="center"/>
              <w:rPr>
                <w:rFonts w:cs="Arial"/>
                <w:color w:val="222222"/>
                <w:sz w:val="20"/>
              </w:rPr>
            </w:pPr>
            <w:r w:rsidRPr="00000A0D">
              <w:rPr>
                <w:rFonts w:cs="Arial"/>
                <w:color w:val="222222"/>
                <w:sz w:val="20"/>
              </w:rPr>
              <w:t>498</w:t>
            </w:r>
          </w:p>
        </w:tc>
        <w:tc>
          <w:tcPr>
            <w:tcW w:w="0" w:type="auto"/>
            <w:shd w:val="clear" w:color="auto" w:fill="F2F2F2"/>
            <w:vAlign w:val="center"/>
            <w:hideMark/>
          </w:tcPr>
          <w:p w14:paraId="59CE2EC9" w14:textId="77777777" w:rsidR="00CB4918" w:rsidRPr="00000A0D" w:rsidRDefault="00CB4918" w:rsidP="00CB5DED">
            <w:pPr>
              <w:jc w:val="center"/>
              <w:rPr>
                <w:rFonts w:cs="Arial"/>
                <w:color w:val="222222"/>
                <w:sz w:val="20"/>
              </w:rPr>
            </w:pPr>
            <w:r w:rsidRPr="00000A0D">
              <w:rPr>
                <w:rFonts w:cs="Arial"/>
                <w:color w:val="222222"/>
                <w:sz w:val="20"/>
              </w:rPr>
              <w:t>284</w:t>
            </w:r>
          </w:p>
        </w:tc>
        <w:tc>
          <w:tcPr>
            <w:tcW w:w="0" w:type="auto"/>
            <w:shd w:val="clear" w:color="auto" w:fill="F2F2F2"/>
            <w:vAlign w:val="center"/>
            <w:hideMark/>
          </w:tcPr>
          <w:p w14:paraId="55E5C9D5" w14:textId="77777777" w:rsidR="00CB4918" w:rsidRPr="00000A0D" w:rsidRDefault="00CB4918" w:rsidP="00CB5DED">
            <w:pPr>
              <w:jc w:val="center"/>
              <w:rPr>
                <w:rFonts w:cs="Arial"/>
                <w:color w:val="222222"/>
                <w:sz w:val="20"/>
              </w:rPr>
            </w:pPr>
            <w:r w:rsidRPr="00000A0D">
              <w:rPr>
                <w:rFonts w:cs="Arial"/>
                <w:color w:val="222222"/>
                <w:sz w:val="20"/>
              </w:rPr>
              <w:t>489</w:t>
            </w:r>
          </w:p>
        </w:tc>
        <w:tc>
          <w:tcPr>
            <w:tcW w:w="0" w:type="auto"/>
            <w:shd w:val="clear" w:color="auto" w:fill="F2F2F2"/>
            <w:vAlign w:val="center"/>
            <w:hideMark/>
          </w:tcPr>
          <w:p w14:paraId="6B7CD109" w14:textId="77777777" w:rsidR="00CB4918" w:rsidRPr="00000A0D" w:rsidRDefault="00CB4918" w:rsidP="00CB5DED">
            <w:pPr>
              <w:jc w:val="center"/>
              <w:rPr>
                <w:rFonts w:cs="Arial"/>
                <w:color w:val="222222"/>
                <w:sz w:val="20"/>
              </w:rPr>
            </w:pPr>
            <w:r w:rsidRPr="00000A0D">
              <w:rPr>
                <w:rFonts w:cs="Arial"/>
                <w:color w:val="222222"/>
                <w:sz w:val="20"/>
              </w:rPr>
              <w:t>175</w:t>
            </w:r>
          </w:p>
        </w:tc>
        <w:tc>
          <w:tcPr>
            <w:tcW w:w="0" w:type="auto"/>
            <w:shd w:val="clear" w:color="auto" w:fill="F2F2F2"/>
            <w:vAlign w:val="center"/>
            <w:hideMark/>
          </w:tcPr>
          <w:p w14:paraId="2E6C2C40" w14:textId="77777777" w:rsidR="00CB4918" w:rsidRPr="00000A0D" w:rsidRDefault="00CB4918" w:rsidP="00CB5DED">
            <w:pPr>
              <w:jc w:val="center"/>
              <w:rPr>
                <w:rFonts w:cs="Arial"/>
                <w:color w:val="222222"/>
                <w:sz w:val="20"/>
              </w:rPr>
            </w:pPr>
            <w:r w:rsidRPr="00000A0D">
              <w:rPr>
                <w:rFonts w:cs="Arial"/>
                <w:color w:val="222222"/>
                <w:sz w:val="20"/>
              </w:rPr>
              <w:t>1</w:t>
            </w:r>
          </w:p>
        </w:tc>
        <w:tc>
          <w:tcPr>
            <w:tcW w:w="0" w:type="auto"/>
            <w:shd w:val="clear" w:color="auto" w:fill="F2F2F2"/>
            <w:vAlign w:val="center"/>
            <w:hideMark/>
          </w:tcPr>
          <w:p w14:paraId="06EA4EF9" w14:textId="77777777" w:rsidR="00CB4918" w:rsidRPr="00000A0D" w:rsidRDefault="00CB4918" w:rsidP="00CB5DED">
            <w:pPr>
              <w:jc w:val="center"/>
              <w:rPr>
                <w:rFonts w:cs="Arial"/>
                <w:color w:val="222222"/>
                <w:sz w:val="20"/>
              </w:rPr>
            </w:pPr>
            <w:r w:rsidRPr="00000A0D">
              <w:rPr>
                <w:rFonts w:cs="Arial"/>
                <w:color w:val="222222"/>
                <w:sz w:val="20"/>
              </w:rPr>
              <w:t>11</w:t>
            </w:r>
          </w:p>
        </w:tc>
        <w:tc>
          <w:tcPr>
            <w:tcW w:w="0" w:type="auto"/>
            <w:shd w:val="clear" w:color="auto" w:fill="F2F2F2"/>
            <w:vAlign w:val="center"/>
            <w:hideMark/>
          </w:tcPr>
          <w:p w14:paraId="65E45104" w14:textId="77777777" w:rsidR="00CB4918" w:rsidRPr="00000A0D" w:rsidRDefault="00CB4918" w:rsidP="00CB5DED">
            <w:pPr>
              <w:jc w:val="center"/>
              <w:rPr>
                <w:rFonts w:cs="Arial"/>
                <w:color w:val="222222"/>
                <w:sz w:val="20"/>
              </w:rPr>
            </w:pPr>
            <w:r w:rsidRPr="00000A0D">
              <w:rPr>
                <w:rFonts w:cs="Arial"/>
                <w:color w:val="222222"/>
                <w:sz w:val="20"/>
              </w:rPr>
              <w:t>282</w:t>
            </w:r>
          </w:p>
        </w:tc>
        <w:tc>
          <w:tcPr>
            <w:tcW w:w="0" w:type="auto"/>
            <w:shd w:val="clear" w:color="auto" w:fill="F2F2F2"/>
            <w:vAlign w:val="center"/>
            <w:hideMark/>
          </w:tcPr>
          <w:p w14:paraId="0304E6E4" w14:textId="77777777" w:rsidR="00CB4918" w:rsidRPr="00000A0D" w:rsidRDefault="00CB4918" w:rsidP="00CB5DED">
            <w:pPr>
              <w:jc w:val="center"/>
              <w:rPr>
                <w:rFonts w:cs="Arial"/>
                <w:color w:val="222222"/>
                <w:sz w:val="20"/>
              </w:rPr>
            </w:pPr>
            <w:r w:rsidRPr="00000A0D">
              <w:rPr>
                <w:rFonts w:cs="Arial"/>
                <w:color w:val="222222"/>
                <w:sz w:val="20"/>
              </w:rPr>
              <w:t>27</w:t>
            </w:r>
          </w:p>
        </w:tc>
        <w:tc>
          <w:tcPr>
            <w:tcW w:w="0" w:type="auto"/>
            <w:shd w:val="clear" w:color="auto" w:fill="F2F2F2"/>
            <w:noWrap/>
            <w:vAlign w:val="center"/>
            <w:hideMark/>
          </w:tcPr>
          <w:p w14:paraId="6E1A6389" w14:textId="77777777" w:rsidR="00CB4918" w:rsidRPr="00000A0D" w:rsidRDefault="00CB4918" w:rsidP="00CB5DED">
            <w:pPr>
              <w:jc w:val="center"/>
              <w:rPr>
                <w:rFonts w:cs="Arial"/>
                <w:color w:val="000000"/>
                <w:sz w:val="20"/>
              </w:rPr>
            </w:pPr>
            <w:r w:rsidRPr="00000A0D">
              <w:rPr>
                <w:rFonts w:cs="Arial"/>
                <w:color w:val="000000"/>
                <w:sz w:val="20"/>
              </w:rPr>
              <w:t>1,767</w:t>
            </w:r>
          </w:p>
        </w:tc>
      </w:tr>
      <w:tr w:rsidR="00CB4918" w:rsidRPr="00000A0D" w14:paraId="6CDD0CD0" w14:textId="77777777" w:rsidTr="00CB5DED">
        <w:trPr>
          <w:trHeight w:val="315"/>
          <w:jc w:val="center"/>
        </w:trPr>
        <w:tc>
          <w:tcPr>
            <w:tcW w:w="0" w:type="auto"/>
            <w:shd w:val="clear" w:color="000000" w:fill="FFFFFF"/>
            <w:vAlign w:val="center"/>
            <w:hideMark/>
          </w:tcPr>
          <w:p w14:paraId="388CDDEA" w14:textId="77777777" w:rsidR="00CB4918" w:rsidRPr="00000A0D" w:rsidRDefault="00CB4918" w:rsidP="00CB5DED">
            <w:pPr>
              <w:jc w:val="center"/>
              <w:rPr>
                <w:rFonts w:cs="Arial"/>
                <w:color w:val="222222"/>
                <w:sz w:val="20"/>
              </w:rPr>
            </w:pPr>
            <w:r w:rsidRPr="00000A0D">
              <w:rPr>
                <w:rFonts w:cs="Arial"/>
                <w:color w:val="222222"/>
                <w:sz w:val="20"/>
              </w:rPr>
              <w:lastRenderedPageBreak/>
              <w:t>2014</w:t>
            </w:r>
          </w:p>
        </w:tc>
        <w:tc>
          <w:tcPr>
            <w:tcW w:w="0" w:type="auto"/>
            <w:shd w:val="clear" w:color="000000" w:fill="FFFFFF"/>
            <w:vAlign w:val="center"/>
            <w:hideMark/>
          </w:tcPr>
          <w:p w14:paraId="0F2A19B3" w14:textId="77777777" w:rsidR="00CB4918" w:rsidRPr="00000A0D" w:rsidRDefault="00CB4918" w:rsidP="00CB5DED">
            <w:pPr>
              <w:jc w:val="center"/>
              <w:rPr>
                <w:rFonts w:cs="Arial"/>
                <w:color w:val="222222"/>
                <w:sz w:val="20"/>
              </w:rPr>
            </w:pPr>
            <w:r w:rsidRPr="00000A0D">
              <w:rPr>
                <w:rFonts w:cs="Arial"/>
                <w:color w:val="222222"/>
                <w:sz w:val="20"/>
              </w:rPr>
              <w:t>402</w:t>
            </w:r>
          </w:p>
        </w:tc>
        <w:tc>
          <w:tcPr>
            <w:tcW w:w="0" w:type="auto"/>
            <w:shd w:val="clear" w:color="000000" w:fill="FFFFFF"/>
            <w:vAlign w:val="center"/>
            <w:hideMark/>
          </w:tcPr>
          <w:p w14:paraId="5D28AAA3" w14:textId="77777777" w:rsidR="00CB4918" w:rsidRPr="00000A0D" w:rsidRDefault="00CB4918" w:rsidP="00CB5DED">
            <w:pPr>
              <w:jc w:val="center"/>
              <w:rPr>
                <w:rFonts w:cs="Arial"/>
                <w:color w:val="222222"/>
                <w:sz w:val="20"/>
              </w:rPr>
            </w:pPr>
            <w:r w:rsidRPr="00000A0D">
              <w:rPr>
                <w:rFonts w:cs="Arial"/>
                <w:color w:val="222222"/>
                <w:sz w:val="20"/>
              </w:rPr>
              <w:t>234</w:t>
            </w:r>
          </w:p>
        </w:tc>
        <w:tc>
          <w:tcPr>
            <w:tcW w:w="0" w:type="auto"/>
            <w:shd w:val="clear" w:color="000000" w:fill="FFFFFF"/>
            <w:vAlign w:val="center"/>
            <w:hideMark/>
          </w:tcPr>
          <w:p w14:paraId="7C271B68" w14:textId="77777777" w:rsidR="00CB4918" w:rsidRPr="00000A0D" w:rsidRDefault="00CB4918" w:rsidP="00CB5DED">
            <w:pPr>
              <w:jc w:val="center"/>
              <w:rPr>
                <w:rFonts w:cs="Arial"/>
                <w:color w:val="222222"/>
                <w:sz w:val="20"/>
              </w:rPr>
            </w:pPr>
            <w:r w:rsidRPr="00000A0D">
              <w:rPr>
                <w:rFonts w:cs="Arial"/>
                <w:color w:val="222222"/>
                <w:sz w:val="20"/>
              </w:rPr>
              <w:t>410</w:t>
            </w:r>
          </w:p>
        </w:tc>
        <w:tc>
          <w:tcPr>
            <w:tcW w:w="0" w:type="auto"/>
            <w:shd w:val="clear" w:color="000000" w:fill="FFFFFF"/>
            <w:vAlign w:val="center"/>
            <w:hideMark/>
          </w:tcPr>
          <w:p w14:paraId="03537014" w14:textId="77777777" w:rsidR="00CB4918" w:rsidRPr="00000A0D" w:rsidRDefault="00CB4918" w:rsidP="00CB5DED">
            <w:pPr>
              <w:jc w:val="center"/>
              <w:rPr>
                <w:rFonts w:cs="Arial"/>
                <w:color w:val="222222"/>
                <w:sz w:val="20"/>
              </w:rPr>
            </w:pPr>
            <w:r w:rsidRPr="00000A0D">
              <w:rPr>
                <w:rFonts w:cs="Arial"/>
                <w:color w:val="222222"/>
                <w:sz w:val="20"/>
              </w:rPr>
              <w:t>131</w:t>
            </w:r>
          </w:p>
        </w:tc>
        <w:tc>
          <w:tcPr>
            <w:tcW w:w="0" w:type="auto"/>
            <w:shd w:val="clear" w:color="000000" w:fill="FFFFFF"/>
            <w:vAlign w:val="center"/>
            <w:hideMark/>
          </w:tcPr>
          <w:p w14:paraId="32FF5628" w14:textId="77777777" w:rsidR="00CB4918" w:rsidRPr="00000A0D" w:rsidRDefault="00CB4918" w:rsidP="00CB5DED">
            <w:pPr>
              <w:jc w:val="center"/>
              <w:rPr>
                <w:rFonts w:cs="Arial"/>
                <w:color w:val="222222"/>
                <w:sz w:val="20"/>
              </w:rPr>
            </w:pPr>
            <w:r w:rsidRPr="00000A0D">
              <w:rPr>
                <w:rFonts w:cs="Arial"/>
                <w:color w:val="222222"/>
                <w:sz w:val="20"/>
              </w:rPr>
              <w:t>1</w:t>
            </w:r>
          </w:p>
        </w:tc>
        <w:tc>
          <w:tcPr>
            <w:tcW w:w="0" w:type="auto"/>
            <w:shd w:val="clear" w:color="000000" w:fill="FFFFFF"/>
            <w:vAlign w:val="center"/>
            <w:hideMark/>
          </w:tcPr>
          <w:p w14:paraId="0898FA6E" w14:textId="77777777" w:rsidR="00CB4918" w:rsidRPr="00000A0D" w:rsidRDefault="00CB4918" w:rsidP="00CB5DED">
            <w:pPr>
              <w:jc w:val="center"/>
              <w:rPr>
                <w:rFonts w:cs="Arial"/>
                <w:color w:val="222222"/>
                <w:sz w:val="20"/>
              </w:rPr>
            </w:pPr>
            <w:r w:rsidRPr="00000A0D">
              <w:rPr>
                <w:rFonts w:cs="Arial"/>
                <w:color w:val="222222"/>
                <w:sz w:val="20"/>
              </w:rPr>
              <w:t>7</w:t>
            </w:r>
          </w:p>
        </w:tc>
        <w:tc>
          <w:tcPr>
            <w:tcW w:w="0" w:type="auto"/>
            <w:shd w:val="clear" w:color="000000" w:fill="FFFFFF"/>
            <w:vAlign w:val="center"/>
            <w:hideMark/>
          </w:tcPr>
          <w:p w14:paraId="6FCBF36C" w14:textId="77777777" w:rsidR="00CB4918" w:rsidRPr="00000A0D" w:rsidRDefault="00CB4918" w:rsidP="00CB5DED">
            <w:pPr>
              <w:jc w:val="center"/>
              <w:rPr>
                <w:rFonts w:cs="Arial"/>
                <w:color w:val="222222"/>
                <w:sz w:val="20"/>
              </w:rPr>
            </w:pPr>
            <w:r w:rsidRPr="00000A0D">
              <w:rPr>
                <w:rFonts w:cs="Arial"/>
                <w:color w:val="222222"/>
                <w:sz w:val="20"/>
              </w:rPr>
              <w:t>431</w:t>
            </w:r>
          </w:p>
        </w:tc>
        <w:tc>
          <w:tcPr>
            <w:tcW w:w="0" w:type="auto"/>
            <w:shd w:val="clear" w:color="000000" w:fill="FFFFFF"/>
            <w:vAlign w:val="center"/>
            <w:hideMark/>
          </w:tcPr>
          <w:p w14:paraId="7E466F8A" w14:textId="77777777" w:rsidR="00CB4918" w:rsidRPr="00000A0D" w:rsidRDefault="00CB4918" w:rsidP="00CB5DED">
            <w:pPr>
              <w:jc w:val="center"/>
              <w:rPr>
                <w:rFonts w:cs="Arial"/>
                <w:color w:val="222222"/>
                <w:sz w:val="20"/>
              </w:rPr>
            </w:pPr>
            <w:r w:rsidRPr="00000A0D">
              <w:rPr>
                <w:rFonts w:cs="Arial"/>
                <w:color w:val="222222"/>
                <w:sz w:val="20"/>
              </w:rPr>
              <w:t>27</w:t>
            </w:r>
          </w:p>
        </w:tc>
        <w:tc>
          <w:tcPr>
            <w:tcW w:w="0" w:type="auto"/>
            <w:shd w:val="clear" w:color="auto" w:fill="auto"/>
            <w:noWrap/>
            <w:vAlign w:val="center"/>
            <w:hideMark/>
          </w:tcPr>
          <w:p w14:paraId="6F320454" w14:textId="77777777" w:rsidR="00CB4918" w:rsidRPr="00000A0D" w:rsidRDefault="00CB4918" w:rsidP="00CB5DED">
            <w:pPr>
              <w:jc w:val="center"/>
              <w:rPr>
                <w:rFonts w:cs="Arial"/>
                <w:color w:val="000000"/>
                <w:sz w:val="20"/>
              </w:rPr>
            </w:pPr>
            <w:r w:rsidRPr="00000A0D">
              <w:rPr>
                <w:rFonts w:cs="Arial"/>
                <w:color w:val="000000"/>
                <w:sz w:val="20"/>
              </w:rPr>
              <w:t>1,643</w:t>
            </w:r>
          </w:p>
        </w:tc>
      </w:tr>
    </w:tbl>
    <w:p w14:paraId="774182F7" w14:textId="77777777" w:rsidR="00CB4918" w:rsidRDefault="00CB4918" w:rsidP="00CB4918">
      <w:pPr>
        <w:pStyle w:val="NoSpacing"/>
        <w:rPr>
          <w:rFonts w:ascii="Arial" w:hAnsi="Arial" w:cs="Arial"/>
          <w:sz w:val="24"/>
          <w:szCs w:val="24"/>
        </w:rPr>
      </w:pPr>
    </w:p>
    <w:p w14:paraId="274A443B" w14:textId="2DCFAACE" w:rsidR="00CB4918" w:rsidRDefault="00CB4918" w:rsidP="00770384">
      <w:pPr>
        <w:jc w:val="both"/>
        <w:rPr>
          <w:rFonts w:cs="Arial"/>
          <w:b/>
        </w:rPr>
      </w:pPr>
      <w:r>
        <w:rPr>
          <w:rFonts w:cs="Arial"/>
        </w:rPr>
        <w:t>The City of Emeryville held th</w:t>
      </w:r>
      <w:r w:rsidR="00CC7094">
        <w:rPr>
          <w:rFonts w:cs="Arial"/>
        </w:rPr>
        <w:t>ree public outreach workshops, one on</w:t>
      </w:r>
      <w:r>
        <w:rPr>
          <w:rFonts w:cs="Arial"/>
        </w:rPr>
        <w:t xml:space="preserve"> May 7 and </w:t>
      </w:r>
      <w:r w:rsidR="00CC7094">
        <w:rPr>
          <w:rFonts w:cs="Arial"/>
        </w:rPr>
        <w:t xml:space="preserve">two on May </w:t>
      </w:r>
      <w:r>
        <w:rPr>
          <w:rFonts w:cs="Arial"/>
        </w:rPr>
        <w:t xml:space="preserve">10 of 2016 </w:t>
      </w:r>
      <w:r w:rsidR="00CC7094">
        <w:rPr>
          <w:rFonts w:cs="Arial"/>
        </w:rPr>
        <w:t>along with an</w:t>
      </w:r>
      <w:r>
        <w:rPr>
          <w:rFonts w:cs="Arial"/>
        </w:rPr>
        <w:t xml:space="preserve"> online survey to get feedback on the draft climate action plan objectives and initiatives. Overall community response to the proposed plan was positive and supportive, and new ideas from participants were incorporated into the initiatives.  </w:t>
      </w:r>
    </w:p>
    <w:p w14:paraId="672840B5" w14:textId="77777777" w:rsidR="00CB4918" w:rsidRDefault="00CB4918" w:rsidP="00770384">
      <w:pPr>
        <w:jc w:val="both"/>
        <w:rPr>
          <w:rFonts w:cs="Arial"/>
        </w:rPr>
      </w:pPr>
    </w:p>
    <w:p w14:paraId="0E473F37" w14:textId="77777777" w:rsidR="00CB4918" w:rsidRPr="004A5F95" w:rsidRDefault="00CB4918" w:rsidP="00770384">
      <w:pPr>
        <w:pStyle w:val="NoSpacing"/>
        <w:jc w:val="both"/>
        <w:rPr>
          <w:rFonts w:ascii="Arial" w:hAnsi="Arial" w:cs="Arial"/>
          <w:sz w:val="24"/>
          <w:szCs w:val="24"/>
        </w:rPr>
      </w:pPr>
      <w:r w:rsidRPr="005B083E">
        <w:rPr>
          <w:rFonts w:ascii="Arial" w:hAnsi="Arial" w:cs="Arial"/>
          <w:sz w:val="24"/>
          <w:szCs w:val="24"/>
        </w:rPr>
        <w:t>In its current form, the CAP 2.0 contains 17 mitigation goals, 5 adaptation goals, 9</w:t>
      </w:r>
      <w:r>
        <w:rPr>
          <w:rFonts w:ascii="Arial" w:hAnsi="Arial" w:cs="Arial"/>
          <w:sz w:val="24"/>
          <w:szCs w:val="24"/>
        </w:rPr>
        <w:t>8</w:t>
      </w:r>
      <w:r w:rsidRPr="005B083E">
        <w:rPr>
          <w:rFonts w:ascii="Arial" w:hAnsi="Arial" w:cs="Arial"/>
          <w:sz w:val="24"/>
          <w:szCs w:val="24"/>
        </w:rPr>
        <w:t xml:space="preserve"> mitigation initiatives, 38 adaptation initiatives, and 5 long-term strategies for carbon neutrality. </w:t>
      </w:r>
      <w:r>
        <w:rPr>
          <w:rFonts w:ascii="Arial" w:hAnsi="Arial" w:cs="Arial"/>
          <w:sz w:val="24"/>
          <w:szCs w:val="24"/>
        </w:rPr>
        <w:t xml:space="preserve">All of the goals relate back to meeting the state’s target for reducing GHG emissions by 40% below baseline levels by 2030 while the long-term strategies speak to the 2050 vision for 80% reduction. The associated initiatives are described in the CAP 2.0 Implementation Plan (Exhibit B). Since technology and best practices are rapidly evolving in this field, staff is asking for authorization to amend the initiatives </w:t>
      </w:r>
      <w:r w:rsidRPr="00001244">
        <w:rPr>
          <w:rFonts w:ascii="Arial" w:hAnsi="Arial" w:cs="Arial"/>
          <w:sz w:val="24"/>
          <w:szCs w:val="24"/>
        </w:rPr>
        <w:t>as needed in response to local conditio</w:t>
      </w:r>
      <w:r w:rsidRPr="00084923">
        <w:rPr>
          <w:rFonts w:ascii="Arial" w:hAnsi="Arial" w:cs="Arial"/>
          <w:sz w:val="24"/>
          <w:szCs w:val="24"/>
        </w:rPr>
        <w:t>ns, developments in technology, changes in regulation, resource availability, or best practices to bes</w:t>
      </w:r>
      <w:r w:rsidRPr="00C844FE">
        <w:rPr>
          <w:rFonts w:ascii="Arial" w:hAnsi="Arial" w:cs="Arial"/>
          <w:sz w:val="24"/>
          <w:szCs w:val="24"/>
        </w:rPr>
        <w:t>t meet the goals in the CAP 2.0</w:t>
      </w:r>
      <w:r w:rsidRPr="004A5F95">
        <w:rPr>
          <w:rFonts w:ascii="Arial" w:hAnsi="Arial" w:cs="Arial"/>
          <w:sz w:val="24"/>
          <w:szCs w:val="24"/>
        </w:rPr>
        <w:t xml:space="preserve">. </w:t>
      </w:r>
    </w:p>
    <w:p w14:paraId="5E50E431" w14:textId="77777777" w:rsidR="00CB4918" w:rsidRDefault="00CB4918" w:rsidP="00770384">
      <w:pPr>
        <w:pStyle w:val="NoSpacing"/>
        <w:jc w:val="both"/>
        <w:rPr>
          <w:rFonts w:ascii="Arial" w:hAnsi="Arial" w:cs="Arial"/>
          <w:sz w:val="24"/>
          <w:szCs w:val="24"/>
        </w:rPr>
      </w:pPr>
    </w:p>
    <w:p w14:paraId="604F0304" w14:textId="77777777" w:rsidR="00CB4918" w:rsidRPr="005B083E" w:rsidRDefault="00CB4918" w:rsidP="00770384">
      <w:pPr>
        <w:pStyle w:val="NoSpacing"/>
        <w:jc w:val="both"/>
        <w:rPr>
          <w:rFonts w:ascii="Arial" w:hAnsi="Arial" w:cs="Arial"/>
          <w:sz w:val="24"/>
          <w:szCs w:val="24"/>
        </w:rPr>
      </w:pPr>
      <w:r w:rsidRPr="005B083E">
        <w:rPr>
          <w:rFonts w:ascii="Arial" w:hAnsi="Arial" w:cs="Arial"/>
          <w:sz w:val="24"/>
          <w:szCs w:val="24"/>
        </w:rPr>
        <w:t xml:space="preserve">The </w:t>
      </w:r>
      <w:r>
        <w:rPr>
          <w:rFonts w:ascii="Arial" w:hAnsi="Arial" w:cs="Arial"/>
          <w:sz w:val="24"/>
          <w:szCs w:val="24"/>
        </w:rPr>
        <w:t xml:space="preserve">4 mitigation goals and </w:t>
      </w:r>
      <w:r w:rsidRPr="005B083E">
        <w:rPr>
          <w:rFonts w:ascii="Arial" w:hAnsi="Arial" w:cs="Arial"/>
          <w:sz w:val="24"/>
          <w:szCs w:val="24"/>
        </w:rPr>
        <w:t xml:space="preserve">19 initiatives relating to local government operations came from the Sustainability Action Plan, the product of </w:t>
      </w:r>
      <w:r>
        <w:rPr>
          <w:rFonts w:ascii="Arial" w:hAnsi="Arial" w:cs="Arial"/>
          <w:sz w:val="24"/>
          <w:szCs w:val="24"/>
        </w:rPr>
        <w:t xml:space="preserve">the City’s </w:t>
      </w:r>
      <w:r w:rsidRPr="005B083E">
        <w:rPr>
          <w:rFonts w:ascii="Arial" w:hAnsi="Arial" w:cs="Arial"/>
          <w:sz w:val="24"/>
          <w:szCs w:val="24"/>
        </w:rPr>
        <w:t xml:space="preserve">participation in a REV Sustainability Circle. Many of the energy-related initiatives were first fleshed out in </w:t>
      </w:r>
      <w:r>
        <w:rPr>
          <w:rFonts w:ascii="Arial" w:hAnsi="Arial" w:cs="Arial"/>
          <w:sz w:val="24"/>
          <w:szCs w:val="24"/>
        </w:rPr>
        <w:t xml:space="preserve">the City of </w:t>
      </w:r>
      <w:r w:rsidRPr="005B083E">
        <w:rPr>
          <w:rFonts w:ascii="Arial" w:hAnsi="Arial" w:cs="Arial"/>
          <w:sz w:val="24"/>
          <w:szCs w:val="24"/>
        </w:rPr>
        <w:t>Emeryville’s Strategic Energy Plan, developed with assistance from East Bay Energy Watch (EBEW) and their consultant, Newcomb Anderson McCormick.</w:t>
      </w:r>
      <w:r>
        <w:rPr>
          <w:rFonts w:ascii="Arial" w:hAnsi="Arial" w:cs="Arial"/>
          <w:sz w:val="24"/>
          <w:szCs w:val="24"/>
        </w:rPr>
        <w:t xml:space="preserve"> Consultants hired through StopWaste, 427 Climate Solutions, completed the climate vulnerability assessment and adaptation recommendations that are incorporated in the plan. </w:t>
      </w:r>
      <w:r w:rsidRPr="005B083E">
        <w:rPr>
          <w:rFonts w:ascii="Arial" w:hAnsi="Arial" w:cs="Arial"/>
          <w:sz w:val="24"/>
          <w:szCs w:val="24"/>
        </w:rPr>
        <w:t xml:space="preserve">  </w:t>
      </w:r>
    </w:p>
    <w:p w14:paraId="52339AC7" w14:textId="77777777" w:rsidR="00CB4918" w:rsidRPr="00B4203A" w:rsidRDefault="00CB4918" w:rsidP="00CB4918">
      <w:pPr>
        <w:rPr>
          <w:rFonts w:cs="Arial"/>
        </w:rPr>
      </w:pPr>
    </w:p>
    <w:p w14:paraId="20C59478" w14:textId="77777777" w:rsidR="00CB4918" w:rsidRDefault="00CB4918" w:rsidP="00CB4918">
      <w:pPr>
        <w:rPr>
          <w:rFonts w:cs="Arial"/>
        </w:rPr>
      </w:pPr>
      <w:r>
        <w:rPr>
          <w:rFonts w:cs="Arial"/>
        </w:rPr>
        <w:t>The 2030 goals include:</w:t>
      </w:r>
    </w:p>
    <w:p w14:paraId="56DD80B5" w14:textId="77777777" w:rsidR="00CB4918" w:rsidRPr="00AA1292" w:rsidRDefault="00CB4918" w:rsidP="00CB4918">
      <w:pPr>
        <w:rPr>
          <w:rFonts w:cs="Arial"/>
        </w:rPr>
      </w:pPr>
    </w:p>
    <w:p w14:paraId="0A9F73AD" w14:textId="77777777" w:rsidR="00CB4918" w:rsidRPr="0077386A" w:rsidRDefault="00CB4918" w:rsidP="00CB4918">
      <w:pPr>
        <w:ind w:right="72"/>
        <w:rPr>
          <w:rFonts w:cs="Arial"/>
          <w:bCs/>
          <w:i/>
          <w:snapToGrid w:val="0"/>
        </w:rPr>
      </w:pPr>
      <w:r w:rsidRPr="0077386A">
        <w:rPr>
          <w:rFonts w:cs="Arial"/>
          <w:bCs/>
          <w:i/>
          <w:snapToGrid w:val="0"/>
        </w:rPr>
        <w:t>TRANSPORTATION</w:t>
      </w:r>
    </w:p>
    <w:p w14:paraId="2225781C"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 xml:space="preserve">Create vibrant neighborhoods where residents can easily walk to their basic daily needs. </w:t>
      </w:r>
    </w:p>
    <w:p w14:paraId="127D8FDC"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Reduce the total vehicle miles traveled on local roads by 30%.</w:t>
      </w:r>
    </w:p>
    <w:p w14:paraId="76049B8C"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Reduce the carbon intensity of vehicles by 30%.</w:t>
      </w:r>
    </w:p>
    <w:p w14:paraId="29D045A5" w14:textId="77777777" w:rsidR="00CB4918" w:rsidRPr="00CD55A6" w:rsidRDefault="00CB4918" w:rsidP="00CB4918">
      <w:pPr>
        <w:rPr>
          <w:rFonts w:cs="Arial"/>
        </w:rPr>
      </w:pPr>
    </w:p>
    <w:p w14:paraId="360C811E" w14:textId="77777777" w:rsidR="00CB4918" w:rsidRPr="0077386A" w:rsidRDefault="00CB4918" w:rsidP="00CB4918">
      <w:pPr>
        <w:rPr>
          <w:rFonts w:cs="Arial"/>
          <w:i/>
        </w:rPr>
      </w:pPr>
      <w:r w:rsidRPr="0077386A">
        <w:rPr>
          <w:rFonts w:cs="Arial"/>
          <w:i/>
        </w:rPr>
        <w:t>BUILDINGS</w:t>
      </w:r>
    </w:p>
    <w:p w14:paraId="18C21BE4"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Reduce the total energy use of buildings built in 2016 or before by 15%.</w:t>
      </w:r>
    </w:p>
    <w:p w14:paraId="59DEFAB2" w14:textId="73C4F43B" w:rsidR="009B78DE" w:rsidRPr="009B0BEF"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Achieve zero net carbon emissions for 50% of new construction.</w:t>
      </w:r>
    </w:p>
    <w:p w14:paraId="5A445641" w14:textId="77777777" w:rsidR="009B78DE" w:rsidRDefault="009B78DE" w:rsidP="00CB4918">
      <w:pPr>
        <w:rPr>
          <w:rFonts w:cs="Arial"/>
          <w:i/>
        </w:rPr>
      </w:pPr>
    </w:p>
    <w:p w14:paraId="0AADE26B" w14:textId="77777777" w:rsidR="00CB4918" w:rsidRPr="0077386A" w:rsidRDefault="00CB4918" w:rsidP="00CB4918">
      <w:pPr>
        <w:rPr>
          <w:rFonts w:cs="Arial"/>
          <w:i/>
        </w:rPr>
      </w:pPr>
      <w:r w:rsidRPr="0077386A">
        <w:rPr>
          <w:rFonts w:cs="Arial"/>
          <w:i/>
        </w:rPr>
        <w:t>ENERGY</w:t>
      </w:r>
    </w:p>
    <w:p w14:paraId="4BD3DE70"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 xml:space="preserve">Increase local renewable energy capacity in Emeryville by 30%. </w:t>
      </w:r>
    </w:p>
    <w:p w14:paraId="1A09580A"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Develop or support green jobs training program around increasing local renewable energy capacity and energy efficiency.</w:t>
      </w:r>
    </w:p>
    <w:p w14:paraId="738339F1" w14:textId="77777777" w:rsidR="00CB4918" w:rsidRPr="00CD55A6" w:rsidRDefault="00CB4918" w:rsidP="00CB4918">
      <w:pPr>
        <w:rPr>
          <w:rFonts w:cs="Arial"/>
        </w:rPr>
      </w:pPr>
    </w:p>
    <w:p w14:paraId="0C52C93E" w14:textId="77777777" w:rsidR="00CB4918" w:rsidRPr="0077386A" w:rsidRDefault="00CB4918" w:rsidP="00CB4918">
      <w:pPr>
        <w:rPr>
          <w:rFonts w:cs="Arial"/>
          <w:i/>
        </w:rPr>
      </w:pPr>
      <w:r w:rsidRPr="0077386A">
        <w:rPr>
          <w:rFonts w:cs="Arial"/>
          <w:i/>
        </w:rPr>
        <w:t>CONSUMPTION AND WASTE</w:t>
      </w:r>
    </w:p>
    <w:p w14:paraId="5EFEF835"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Reduce food scraps sent to landfills.</w:t>
      </w:r>
    </w:p>
    <w:p w14:paraId="7684FB4B"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 xml:space="preserve">Achieve zero waste to landfills. </w:t>
      </w:r>
    </w:p>
    <w:p w14:paraId="66A9579E"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lastRenderedPageBreak/>
        <w:t xml:space="preserve">Reduce consumption-related emissions by encouraging sustainable consumption and minimization of the carbon intensity of business supply chains. </w:t>
      </w:r>
    </w:p>
    <w:p w14:paraId="09932D7B" w14:textId="77777777" w:rsidR="00CB4918" w:rsidRPr="00CD55A6" w:rsidRDefault="00CB4918" w:rsidP="00CB4918">
      <w:pPr>
        <w:rPr>
          <w:rFonts w:cs="Arial"/>
        </w:rPr>
      </w:pPr>
    </w:p>
    <w:p w14:paraId="6E447C6E" w14:textId="77777777" w:rsidR="00CB4918" w:rsidRPr="0077386A" w:rsidRDefault="00CB4918" w:rsidP="00CB4918">
      <w:pPr>
        <w:rPr>
          <w:rFonts w:cs="Arial"/>
          <w:i/>
        </w:rPr>
      </w:pPr>
      <w:r w:rsidRPr="0077386A">
        <w:rPr>
          <w:rFonts w:cs="Arial"/>
          <w:i/>
        </w:rPr>
        <w:t>WATER USE</w:t>
      </w:r>
    </w:p>
    <w:p w14:paraId="5466835E"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 xml:space="preserve">Reduce water use in the community by 30%. </w:t>
      </w:r>
    </w:p>
    <w:p w14:paraId="7BCA8D47" w14:textId="77777777" w:rsidR="00CB4918" w:rsidRPr="00CD55A6" w:rsidRDefault="00CB4918" w:rsidP="00CB4918">
      <w:pPr>
        <w:rPr>
          <w:rFonts w:cs="Arial"/>
        </w:rPr>
      </w:pPr>
    </w:p>
    <w:p w14:paraId="249ADEB8" w14:textId="77777777" w:rsidR="00CB4918" w:rsidRPr="0077386A" w:rsidRDefault="00CB4918" w:rsidP="00CB4918">
      <w:pPr>
        <w:rPr>
          <w:rFonts w:cs="Arial"/>
          <w:i/>
        </w:rPr>
      </w:pPr>
      <w:r w:rsidRPr="0077386A">
        <w:rPr>
          <w:rFonts w:cs="Arial"/>
          <w:i/>
        </w:rPr>
        <w:t>URBAN SPACE</w:t>
      </w:r>
    </w:p>
    <w:p w14:paraId="645F117B"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Expand the urban forest with a minimum canopy cover of</w:t>
      </w:r>
      <w:r>
        <w:rPr>
          <w:rFonts w:ascii="Arial" w:hAnsi="Arial" w:cs="Arial"/>
          <w:sz w:val="24"/>
          <w:szCs w:val="24"/>
        </w:rPr>
        <w:t xml:space="preserve"> 50</w:t>
      </w:r>
      <w:r w:rsidRPr="00CD55A6">
        <w:rPr>
          <w:rFonts w:ascii="Arial" w:hAnsi="Arial" w:cs="Arial"/>
          <w:sz w:val="24"/>
          <w:szCs w:val="24"/>
        </w:rPr>
        <w:t>% in the Triangle and Doyle medium density</w:t>
      </w:r>
      <w:r>
        <w:rPr>
          <w:rFonts w:ascii="Arial" w:hAnsi="Arial" w:cs="Arial"/>
          <w:sz w:val="24"/>
          <w:szCs w:val="24"/>
        </w:rPr>
        <w:t xml:space="preserve"> residential neighborhoods and 2</w:t>
      </w:r>
      <w:r w:rsidRPr="00CD55A6">
        <w:rPr>
          <w:rFonts w:ascii="Arial" w:hAnsi="Arial" w:cs="Arial"/>
          <w:sz w:val="24"/>
          <w:szCs w:val="24"/>
        </w:rPr>
        <w:t xml:space="preserve">5% in other city areas.   </w:t>
      </w:r>
    </w:p>
    <w:p w14:paraId="2E2E9751"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 xml:space="preserve">Expand access to healthy and local food.   </w:t>
      </w:r>
    </w:p>
    <w:p w14:paraId="4C6FCD06" w14:textId="77777777" w:rsidR="00CB4918" w:rsidRPr="00CD55A6" w:rsidRDefault="00CB4918" w:rsidP="00CB4918">
      <w:pPr>
        <w:rPr>
          <w:rFonts w:cs="Arial"/>
        </w:rPr>
      </w:pPr>
    </w:p>
    <w:p w14:paraId="78194DC5" w14:textId="77777777" w:rsidR="00CB4918" w:rsidRPr="0077386A" w:rsidRDefault="00CB4918" w:rsidP="00CB4918">
      <w:pPr>
        <w:rPr>
          <w:rFonts w:cs="Arial"/>
          <w:i/>
        </w:rPr>
      </w:pPr>
      <w:r w:rsidRPr="0077386A">
        <w:rPr>
          <w:rFonts w:cs="Arial"/>
          <w:i/>
        </w:rPr>
        <w:t>LOCAL GOVERNMENT OPERATIONS</w:t>
      </w:r>
    </w:p>
    <w:p w14:paraId="7DC982A9"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 xml:space="preserve">Reduce energy use in city facilities by 30%. </w:t>
      </w:r>
    </w:p>
    <w:p w14:paraId="36A69697"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Reduce water use in city facilities by 30%.</w:t>
      </w:r>
    </w:p>
    <w:p w14:paraId="2FEBE8D0"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 xml:space="preserve">Reduce emissions in the city fleet sector </w:t>
      </w:r>
      <w:r>
        <w:rPr>
          <w:rFonts w:ascii="Arial" w:hAnsi="Arial" w:cs="Arial"/>
          <w:sz w:val="24"/>
          <w:szCs w:val="24"/>
        </w:rPr>
        <w:t xml:space="preserve">and employee commute </w:t>
      </w:r>
      <w:r w:rsidRPr="00CD55A6">
        <w:rPr>
          <w:rFonts w:ascii="Arial" w:hAnsi="Arial" w:cs="Arial"/>
          <w:sz w:val="24"/>
          <w:szCs w:val="24"/>
        </w:rPr>
        <w:t xml:space="preserve">by 30%.  </w:t>
      </w:r>
    </w:p>
    <w:p w14:paraId="084F31C2" w14:textId="77777777" w:rsidR="00CB4918" w:rsidRPr="00CD55A6" w:rsidRDefault="00CB4918" w:rsidP="00CB4918">
      <w:pPr>
        <w:pStyle w:val="ListParagraph"/>
        <w:numPr>
          <w:ilvl w:val="0"/>
          <w:numId w:val="6"/>
        </w:numPr>
        <w:spacing w:after="0" w:line="240" w:lineRule="auto"/>
        <w:rPr>
          <w:rFonts w:ascii="Arial" w:hAnsi="Arial" w:cs="Arial"/>
          <w:sz w:val="24"/>
          <w:szCs w:val="24"/>
        </w:rPr>
      </w:pPr>
      <w:r w:rsidRPr="00CD55A6">
        <w:rPr>
          <w:rFonts w:ascii="Arial" w:hAnsi="Arial" w:cs="Arial"/>
          <w:sz w:val="24"/>
          <w:szCs w:val="24"/>
        </w:rPr>
        <w:t xml:space="preserve">Achieve zero waste to landfill from city facilities. </w:t>
      </w:r>
    </w:p>
    <w:p w14:paraId="613489CF" w14:textId="77777777" w:rsidR="00CB4918" w:rsidRPr="00AA1292" w:rsidRDefault="00CB4918" w:rsidP="00CB4918">
      <w:pPr>
        <w:rPr>
          <w:rFonts w:cs="Arial"/>
        </w:rPr>
      </w:pPr>
    </w:p>
    <w:p w14:paraId="3797BC17" w14:textId="77777777" w:rsidR="00CB4918" w:rsidRPr="0077386A" w:rsidRDefault="00CB4918" w:rsidP="00CB4918">
      <w:pPr>
        <w:rPr>
          <w:rFonts w:cs="Arial"/>
          <w:i/>
        </w:rPr>
      </w:pPr>
      <w:r w:rsidRPr="0077386A">
        <w:rPr>
          <w:rFonts w:cs="Arial"/>
          <w:i/>
        </w:rPr>
        <w:t>ADAPTATION</w:t>
      </w:r>
    </w:p>
    <w:p w14:paraId="53179BCA" w14:textId="77777777" w:rsidR="00CB4918" w:rsidRPr="009B5817" w:rsidRDefault="00CB4918" w:rsidP="00CB4918">
      <w:pPr>
        <w:pStyle w:val="ListParagraph"/>
        <w:numPr>
          <w:ilvl w:val="0"/>
          <w:numId w:val="6"/>
        </w:numPr>
        <w:spacing w:after="0" w:line="240" w:lineRule="auto"/>
        <w:rPr>
          <w:rFonts w:ascii="Arial" w:hAnsi="Arial" w:cs="Arial"/>
          <w:sz w:val="24"/>
          <w:szCs w:val="24"/>
        </w:rPr>
      </w:pPr>
      <w:r w:rsidRPr="009B5817">
        <w:rPr>
          <w:rFonts w:ascii="Arial" w:hAnsi="Arial" w:cs="Arial"/>
          <w:sz w:val="24"/>
          <w:szCs w:val="24"/>
        </w:rPr>
        <w:t>Reduce risk and impacts of heat and drought by preparing for hotter, drier summers with increased incidence of extreme heat days.</w:t>
      </w:r>
    </w:p>
    <w:p w14:paraId="4BC081A1" w14:textId="77777777" w:rsidR="00CB4918" w:rsidRPr="009B5817" w:rsidRDefault="00CB4918" w:rsidP="00CB4918">
      <w:pPr>
        <w:pStyle w:val="ListParagraph"/>
        <w:numPr>
          <w:ilvl w:val="0"/>
          <w:numId w:val="6"/>
        </w:numPr>
        <w:spacing w:after="0" w:line="240" w:lineRule="auto"/>
        <w:rPr>
          <w:rFonts w:ascii="Arial" w:hAnsi="Arial" w:cs="Arial"/>
          <w:sz w:val="24"/>
          <w:szCs w:val="24"/>
        </w:rPr>
      </w:pPr>
      <w:r w:rsidRPr="009B5817">
        <w:rPr>
          <w:rFonts w:ascii="Arial" w:hAnsi="Arial" w:cs="Arial"/>
          <w:sz w:val="24"/>
          <w:szCs w:val="24"/>
        </w:rPr>
        <w:t>Reduce risk and impacts of flooding by preparing for more intense rain events.</w:t>
      </w:r>
    </w:p>
    <w:p w14:paraId="3339D0E2" w14:textId="77777777" w:rsidR="00CB4918" w:rsidRPr="009B5817" w:rsidRDefault="00CB4918" w:rsidP="00CB4918">
      <w:pPr>
        <w:pStyle w:val="ListParagraph"/>
        <w:numPr>
          <w:ilvl w:val="0"/>
          <w:numId w:val="6"/>
        </w:numPr>
        <w:spacing w:after="0" w:line="240" w:lineRule="auto"/>
        <w:rPr>
          <w:rFonts w:ascii="Arial" w:hAnsi="Arial" w:cs="Arial"/>
          <w:sz w:val="24"/>
          <w:szCs w:val="24"/>
        </w:rPr>
      </w:pPr>
      <w:r w:rsidRPr="009B5817">
        <w:rPr>
          <w:rFonts w:ascii="Arial" w:hAnsi="Arial" w:cs="Arial"/>
          <w:sz w:val="24"/>
          <w:szCs w:val="24"/>
        </w:rPr>
        <w:t>Reduce risk and impacts from sea level rise.</w:t>
      </w:r>
    </w:p>
    <w:p w14:paraId="4C0F4E4F" w14:textId="77777777" w:rsidR="00CB4918" w:rsidRPr="009B5817" w:rsidRDefault="00CB4918" w:rsidP="00CB4918">
      <w:pPr>
        <w:pStyle w:val="ListParagraph"/>
        <w:numPr>
          <w:ilvl w:val="0"/>
          <w:numId w:val="6"/>
        </w:numPr>
        <w:spacing w:after="0" w:line="240" w:lineRule="auto"/>
        <w:rPr>
          <w:rFonts w:ascii="Arial" w:hAnsi="Arial" w:cs="Arial"/>
          <w:sz w:val="24"/>
          <w:szCs w:val="24"/>
        </w:rPr>
      </w:pPr>
      <w:r w:rsidRPr="009B5817">
        <w:rPr>
          <w:rFonts w:ascii="Arial" w:hAnsi="Arial" w:cs="Arial"/>
          <w:sz w:val="24"/>
          <w:szCs w:val="24"/>
        </w:rPr>
        <w:t>Build community capacity for responding to climate change.</w:t>
      </w:r>
    </w:p>
    <w:p w14:paraId="023C0F3C" w14:textId="77777777" w:rsidR="00CB4918" w:rsidRPr="008E25B7" w:rsidRDefault="00CB4918" w:rsidP="00CB4918">
      <w:pPr>
        <w:pStyle w:val="ListParagraph"/>
        <w:numPr>
          <w:ilvl w:val="0"/>
          <w:numId w:val="6"/>
        </w:numPr>
        <w:spacing w:after="0" w:line="240" w:lineRule="auto"/>
        <w:rPr>
          <w:rFonts w:ascii="Arial" w:hAnsi="Arial" w:cs="Arial"/>
          <w:sz w:val="24"/>
          <w:szCs w:val="24"/>
        </w:rPr>
      </w:pPr>
      <w:r w:rsidRPr="009B5817">
        <w:rPr>
          <w:rFonts w:ascii="Arial" w:hAnsi="Arial" w:cs="Arial"/>
          <w:sz w:val="24"/>
          <w:szCs w:val="24"/>
        </w:rPr>
        <w:t>Engage businesses on climate resilience and behavior change.</w:t>
      </w:r>
    </w:p>
    <w:p w14:paraId="55211ECD" w14:textId="77777777" w:rsidR="00CB4918" w:rsidRDefault="00CB4918" w:rsidP="00CB4918">
      <w:pPr>
        <w:rPr>
          <w:rFonts w:cs="Arial"/>
          <w:b/>
        </w:rPr>
      </w:pPr>
    </w:p>
    <w:p w14:paraId="20C79AD2" w14:textId="5611005F" w:rsidR="00EC19A4" w:rsidRDefault="00CB4918" w:rsidP="00770D50">
      <w:pPr>
        <w:jc w:val="both"/>
        <w:rPr>
          <w:rFonts w:cs="Arial"/>
        </w:rPr>
      </w:pPr>
      <w:r>
        <w:rPr>
          <w:rFonts w:cs="Arial"/>
        </w:rPr>
        <w:t xml:space="preserve">As a result of the </w:t>
      </w:r>
      <w:proofErr w:type="spellStart"/>
      <w:r>
        <w:rPr>
          <w:rFonts w:cs="Arial"/>
        </w:rPr>
        <w:t>CivicSpark</w:t>
      </w:r>
      <w:proofErr w:type="spellEnd"/>
      <w:r>
        <w:rPr>
          <w:rFonts w:cs="Arial"/>
        </w:rPr>
        <w:t xml:space="preserve"> Fellow’s work with other City staff on the CAP 2.0, the City of Emeryville has been selected as part of the Office of Planning and Research (OPR)’s Best Practices Pilot Program. The </w:t>
      </w:r>
      <w:proofErr w:type="spellStart"/>
      <w:r>
        <w:rPr>
          <w:rFonts w:cs="Arial"/>
        </w:rPr>
        <w:t>CivicSpark</w:t>
      </w:r>
      <w:proofErr w:type="spellEnd"/>
      <w:r>
        <w:rPr>
          <w:rFonts w:cs="Arial"/>
        </w:rPr>
        <w:t xml:space="preserve"> Fellow documented the CAP 2.0 development process in a case study report for </w:t>
      </w:r>
      <w:r w:rsidRPr="008E25B7">
        <w:rPr>
          <w:rFonts w:cs="Arial"/>
        </w:rPr>
        <w:t>OPR</w:t>
      </w:r>
      <w:r>
        <w:rPr>
          <w:rFonts w:cs="Arial"/>
        </w:rPr>
        <w:t xml:space="preserve"> as part of Phase 1 of the program</w:t>
      </w:r>
      <w:r w:rsidRPr="008E25B7">
        <w:rPr>
          <w:rFonts w:cs="Arial"/>
        </w:rPr>
        <w:t>. The compiled reports will be posted to OPR’s web page and will be promoted as best practice examples of policy or program implementation at the local level.</w:t>
      </w:r>
      <w:r>
        <w:t xml:space="preserve"> </w:t>
      </w:r>
      <w:r>
        <w:rPr>
          <w:rFonts w:cs="Arial"/>
        </w:rPr>
        <w:t>Phase 2 of the program in the coming year will involve technical assistance and capacity building for jurisdictions as well as focus on policy areas without robust guidance or case studies in place now.</w:t>
      </w:r>
    </w:p>
    <w:p w14:paraId="6548324C" w14:textId="13EB4F53" w:rsidR="00C24469" w:rsidRDefault="00C24469" w:rsidP="00770D50">
      <w:pPr>
        <w:jc w:val="both"/>
        <w:rPr>
          <w:rFonts w:cs="Arial"/>
        </w:rPr>
      </w:pPr>
    </w:p>
    <w:p w14:paraId="454ED08F" w14:textId="557C5354" w:rsidR="00C24469" w:rsidRDefault="00C24469" w:rsidP="00770D50">
      <w:pPr>
        <w:jc w:val="both"/>
        <w:rPr>
          <w:rFonts w:cs="Arial"/>
          <w:b/>
        </w:rPr>
      </w:pPr>
      <w:r>
        <w:rPr>
          <w:rFonts w:cs="Arial"/>
          <w:b/>
        </w:rPr>
        <w:t>ENVIRONMENTAL REVIEW</w:t>
      </w:r>
    </w:p>
    <w:p w14:paraId="1D95927D" w14:textId="01FD57A3" w:rsidR="00C24469" w:rsidRDefault="00C24469" w:rsidP="00770D50">
      <w:pPr>
        <w:jc w:val="both"/>
        <w:rPr>
          <w:rFonts w:cs="Arial"/>
          <w:b/>
        </w:rPr>
      </w:pPr>
    </w:p>
    <w:p w14:paraId="6F17C19B" w14:textId="692CC91E" w:rsidR="00C24469" w:rsidRPr="00C071C6" w:rsidRDefault="00C071C6" w:rsidP="00770D50">
      <w:pPr>
        <w:jc w:val="both"/>
        <w:rPr>
          <w:rFonts w:cs="Arial"/>
        </w:rPr>
      </w:pPr>
      <w:r>
        <w:rPr>
          <w:rFonts w:cs="Arial"/>
        </w:rPr>
        <w:t xml:space="preserve">This project is exempt from environmental review under CEQA guidelines under section 15307, “Actions by regulatory agencies for protection of natural resources,” and the general rule at section 15061(b)3 because it can be seen with certainty that there is no possibility that the proposal may have a significant effect on the environment.  </w:t>
      </w:r>
    </w:p>
    <w:p w14:paraId="672A3E4A" w14:textId="77777777" w:rsidR="00EC19A4" w:rsidRDefault="00EC19A4" w:rsidP="009B78DE">
      <w:pPr>
        <w:pStyle w:val="Heading1"/>
      </w:pPr>
      <w:r w:rsidRPr="00EC19A4">
        <w:t>FISCAL IMPACT</w:t>
      </w:r>
    </w:p>
    <w:p w14:paraId="5AA48568" w14:textId="1486099E" w:rsidR="00EC19A4" w:rsidRDefault="00CB4918" w:rsidP="00770D50">
      <w:pPr>
        <w:jc w:val="both"/>
        <w:rPr>
          <w:rFonts w:cs="Arial"/>
        </w:rPr>
      </w:pPr>
      <w:r>
        <w:rPr>
          <w:rFonts w:cs="Arial"/>
        </w:rPr>
        <w:t>Implementing the CAP 2.0 to meet the state targets will require significant financial investment</w:t>
      </w:r>
      <w:r w:rsidR="009B78DE">
        <w:rPr>
          <w:rFonts w:cs="Arial"/>
        </w:rPr>
        <w:t xml:space="preserve"> and staff resources</w:t>
      </w:r>
      <w:r w:rsidR="000152A7">
        <w:rPr>
          <w:rFonts w:cs="Arial"/>
        </w:rPr>
        <w:t>.</w:t>
      </w:r>
      <w:r w:rsidR="009B78DE">
        <w:rPr>
          <w:rFonts w:cs="Arial"/>
        </w:rPr>
        <w:t xml:space="preserve"> C</w:t>
      </w:r>
      <w:r>
        <w:rPr>
          <w:rFonts w:cs="Arial"/>
        </w:rPr>
        <w:t xml:space="preserve">limate change is a pressing international issue with </w:t>
      </w:r>
      <w:r>
        <w:rPr>
          <w:rFonts w:cs="Arial"/>
        </w:rPr>
        <w:lastRenderedPageBreak/>
        <w:t>huge potential negative ramifications for the local economy, ecosystem, and community. Investing financial capital now to transition to a low carbon future will not only help mitigate those effects, but also result in more local jobs, increased community resilience, improved air quality and public health, savings on water and energy bills, and improved social/environmental systems. There is no fiscal imp</w:t>
      </w:r>
      <w:r w:rsidR="009B78DE">
        <w:rPr>
          <w:rFonts w:cs="Arial"/>
        </w:rPr>
        <w:t>act</w:t>
      </w:r>
      <w:r>
        <w:rPr>
          <w:rFonts w:cs="Arial"/>
        </w:rPr>
        <w:t xml:space="preserve"> adopting</w:t>
      </w:r>
      <w:r w:rsidR="009B78DE">
        <w:rPr>
          <w:rFonts w:cs="Arial"/>
        </w:rPr>
        <w:t xml:space="preserve"> the CAP 2.0, although</w:t>
      </w:r>
      <w:r>
        <w:rPr>
          <w:rFonts w:cs="Arial"/>
        </w:rPr>
        <w:t xml:space="preserve"> individual initiatives will require funding through the Capital Improvement Plan or other budgetary sources.</w:t>
      </w:r>
    </w:p>
    <w:p w14:paraId="0B8C6BB4" w14:textId="7C28DE44" w:rsidR="00684541" w:rsidRDefault="00684541" w:rsidP="00770D50">
      <w:pPr>
        <w:jc w:val="both"/>
        <w:rPr>
          <w:rFonts w:cs="Arial"/>
        </w:rPr>
      </w:pPr>
    </w:p>
    <w:p w14:paraId="7DC3BFB3" w14:textId="77777777" w:rsidR="009B0BEF" w:rsidRDefault="009B0BEF" w:rsidP="00684541">
      <w:pPr>
        <w:rPr>
          <w:rFonts w:cs="Arial"/>
          <w:b/>
        </w:rPr>
      </w:pPr>
    </w:p>
    <w:p w14:paraId="250C7D08" w14:textId="413A89C2" w:rsidR="00742849" w:rsidRDefault="00742849" w:rsidP="00684541">
      <w:pPr>
        <w:rPr>
          <w:rFonts w:cs="Arial"/>
        </w:rPr>
      </w:pPr>
      <w:r w:rsidRPr="00742849">
        <w:rPr>
          <w:rFonts w:cs="Arial"/>
          <w:b/>
        </w:rPr>
        <w:t>PREPARED BY:</w:t>
      </w:r>
      <w:r>
        <w:rPr>
          <w:rFonts w:cs="Arial"/>
        </w:rPr>
        <w:tab/>
      </w:r>
      <w:r w:rsidR="00CB4918">
        <w:rPr>
          <w:rFonts w:cs="Arial"/>
        </w:rPr>
        <w:t>Nancy Humphrey, Environmental Programs Supervisor</w:t>
      </w:r>
    </w:p>
    <w:p w14:paraId="161D5DD5" w14:textId="538E34D3" w:rsidR="00684541" w:rsidRDefault="00684541" w:rsidP="00684541">
      <w:pPr>
        <w:rPr>
          <w:rFonts w:cs="Arial"/>
        </w:rPr>
      </w:pPr>
    </w:p>
    <w:p w14:paraId="7FA55EDC" w14:textId="77777777" w:rsidR="00AC2404" w:rsidRPr="00742849" w:rsidRDefault="00AC2404" w:rsidP="00CB345D">
      <w:pPr>
        <w:keepNext/>
        <w:keepLines/>
        <w:rPr>
          <w:rFonts w:cs="Arial"/>
          <w:b/>
        </w:rPr>
      </w:pPr>
      <w:r w:rsidRPr="00742849">
        <w:rPr>
          <w:rFonts w:cs="Arial"/>
          <w:b/>
        </w:rPr>
        <w:t>APPROVED AND FORWARDED TO THE</w:t>
      </w:r>
      <w:r w:rsidRPr="00742849">
        <w:rPr>
          <w:rFonts w:cs="Arial"/>
          <w:b/>
        </w:rPr>
        <w:br/>
        <w:t>CITY COUNCIL OF THE CITY OF EMERYVILLE</w:t>
      </w:r>
      <w:r w:rsidR="0076627D" w:rsidRPr="00742849">
        <w:rPr>
          <w:rFonts w:cs="Arial"/>
          <w:b/>
        </w:rPr>
        <w:t>:</w:t>
      </w:r>
    </w:p>
    <w:p w14:paraId="06351DC1" w14:textId="77777777" w:rsidR="00684541" w:rsidRDefault="00684541" w:rsidP="00684541">
      <w:pPr>
        <w:rPr>
          <w:rFonts w:cs="Arial"/>
        </w:rPr>
      </w:pPr>
    </w:p>
    <w:p w14:paraId="3EC32418" w14:textId="77777777" w:rsidR="009B78DE" w:rsidRDefault="009B78DE" w:rsidP="00684541">
      <w:pPr>
        <w:rPr>
          <w:rFonts w:cs="Arial"/>
        </w:rPr>
      </w:pPr>
    </w:p>
    <w:p w14:paraId="5F4C8249" w14:textId="77777777" w:rsidR="009B78DE" w:rsidRDefault="009B78DE" w:rsidP="00684541">
      <w:pPr>
        <w:rPr>
          <w:rFonts w:cs="Arial"/>
        </w:rPr>
      </w:pPr>
    </w:p>
    <w:p w14:paraId="152F14FF" w14:textId="77777777" w:rsidR="009B78DE" w:rsidRDefault="009B78DE" w:rsidP="00684541">
      <w:pPr>
        <w:rPr>
          <w:rFonts w:cs="Arial"/>
        </w:rPr>
      </w:pPr>
    </w:p>
    <w:p w14:paraId="4A453262" w14:textId="77777777" w:rsidR="009B78DE" w:rsidRDefault="009B78DE" w:rsidP="00684541">
      <w:pPr>
        <w:rPr>
          <w:rFonts w:cs="Arial"/>
        </w:rPr>
      </w:pPr>
      <w:r>
        <w:rPr>
          <w:rFonts w:cs="Arial"/>
        </w:rPr>
        <w:t>Carolyn Lehr, City Manager</w:t>
      </w:r>
    </w:p>
    <w:p w14:paraId="5BAAB8D6" w14:textId="77777777" w:rsidR="00CB345D" w:rsidRDefault="00CB345D" w:rsidP="00684541">
      <w:pPr>
        <w:rPr>
          <w:rFonts w:cs="Arial"/>
        </w:rPr>
      </w:pPr>
    </w:p>
    <w:p w14:paraId="3F81BE69" w14:textId="77777777" w:rsidR="00AC2404" w:rsidRPr="00AC2404" w:rsidRDefault="00AC2404" w:rsidP="00684541">
      <w:pPr>
        <w:rPr>
          <w:rFonts w:cs="Arial"/>
        </w:rPr>
      </w:pPr>
      <w:r w:rsidRPr="00AC2404">
        <w:rPr>
          <w:rFonts w:cs="Arial"/>
        </w:rPr>
        <w:t>Attachments:</w:t>
      </w:r>
    </w:p>
    <w:p w14:paraId="6F72A5B9" w14:textId="77777777" w:rsidR="00AC2404" w:rsidRDefault="00AC2404" w:rsidP="00684541">
      <w:pPr>
        <w:numPr>
          <w:ilvl w:val="0"/>
          <w:numId w:val="3"/>
        </w:numPr>
        <w:rPr>
          <w:rFonts w:cs="Arial"/>
        </w:rPr>
      </w:pPr>
      <w:r>
        <w:rPr>
          <w:rFonts w:cs="Arial"/>
        </w:rPr>
        <w:t>Resolution</w:t>
      </w:r>
    </w:p>
    <w:p w14:paraId="1C4C9369" w14:textId="77777777" w:rsidR="00AC2404" w:rsidRDefault="00CB4918" w:rsidP="00684541">
      <w:pPr>
        <w:numPr>
          <w:ilvl w:val="0"/>
          <w:numId w:val="3"/>
        </w:numPr>
        <w:rPr>
          <w:rFonts w:cs="Arial"/>
        </w:rPr>
      </w:pPr>
      <w:r>
        <w:rPr>
          <w:rFonts w:cs="Arial"/>
        </w:rPr>
        <w:t>Climate Action Plan 2.0</w:t>
      </w:r>
    </w:p>
    <w:p w14:paraId="40BFD785" w14:textId="77777777" w:rsidR="00CB4918" w:rsidRPr="00EC19A4" w:rsidRDefault="00CB4918" w:rsidP="00684541">
      <w:pPr>
        <w:numPr>
          <w:ilvl w:val="0"/>
          <w:numId w:val="3"/>
        </w:numPr>
        <w:rPr>
          <w:rFonts w:cs="Arial"/>
        </w:rPr>
      </w:pPr>
      <w:r>
        <w:rPr>
          <w:rFonts w:cs="Arial"/>
        </w:rPr>
        <w:t>Implementation Plan</w:t>
      </w:r>
    </w:p>
    <w:sectPr w:rsidR="00CB4918" w:rsidRPr="00EC19A4" w:rsidSect="00D75ECC">
      <w:headerReference w:type="default" r:id="rId9"/>
      <w:headerReference w:type="first" r:id="rId10"/>
      <w:pgSz w:w="12240" w:h="15840" w:code="1"/>
      <w:pgMar w:top="720" w:right="1440" w:bottom="72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drea Visveshwara" w:date="2016-10-20T14:05:00Z" w:initials="AV">
    <w:p w14:paraId="4C31C742" w14:textId="7C4ECB9C" w:rsidR="00C24469" w:rsidRDefault="00C24469">
      <w:pPr>
        <w:pStyle w:val="CommentText"/>
      </w:pPr>
      <w:r>
        <w:rPr>
          <w:rStyle w:val="CommentReference"/>
        </w:rPr>
        <w:annotationRef/>
      </w:r>
      <w:r>
        <w:t xml:space="preserve">Agenda Title in </w:t>
      </w:r>
      <w:proofErr w:type="spellStart"/>
      <w:r>
        <w:t>Legistar</w:t>
      </w:r>
      <w:proofErr w:type="spellEnd"/>
      <w:r>
        <w:t xml:space="preserve"> needs to be amended to Reflect the CEQA Determination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31C74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3D8A7" w14:textId="77777777" w:rsidR="00402D25" w:rsidRDefault="00402D25">
      <w:r>
        <w:separator/>
      </w:r>
    </w:p>
  </w:endnote>
  <w:endnote w:type="continuationSeparator" w:id="0">
    <w:p w14:paraId="01DA1C7F" w14:textId="77777777" w:rsidR="00402D25" w:rsidRDefault="0040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A3A59" w14:textId="77777777" w:rsidR="00402D25" w:rsidRDefault="00402D25">
      <w:r>
        <w:separator/>
      </w:r>
    </w:p>
  </w:footnote>
  <w:footnote w:type="continuationSeparator" w:id="0">
    <w:p w14:paraId="6379D6AA" w14:textId="77777777" w:rsidR="00402D25" w:rsidRDefault="00402D25">
      <w:r>
        <w:continuationSeparator/>
      </w:r>
    </w:p>
  </w:footnote>
  <w:footnote w:id="1">
    <w:p w14:paraId="681761F7" w14:textId="77777777" w:rsidR="00CB4918" w:rsidRDefault="00CB4918" w:rsidP="00CB4918">
      <w:pPr>
        <w:pStyle w:val="FootnoteText"/>
      </w:pPr>
      <w:r>
        <w:rPr>
          <w:rStyle w:val="FootnoteReference"/>
        </w:rPr>
        <w:footnoteRef/>
      </w:r>
      <w:r>
        <w:t xml:space="preserve"> IPCC Fifth Assessment Report, </w:t>
      </w:r>
      <w:r w:rsidRPr="008F0427">
        <w:t>https://www.ipcc.ch/report/ar5/</w:t>
      </w:r>
    </w:p>
  </w:footnote>
  <w:footnote w:id="2">
    <w:p w14:paraId="6416316C" w14:textId="77777777" w:rsidR="00CB4918" w:rsidRDefault="00CB4918" w:rsidP="00CB4918">
      <w:pPr>
        <w:pStyle w:val="FootnoteText"/>
      </w:pPr>
      <w:r>
        <w:rPr>
          <w:rStyle w:val="FootnoteReference"/>
        </w:rPr>
        <w:footnoteRef/>
      </w:r>
      <w:r>
        <w:t xml:space="preserve"> U.S. Environmental Protection Agency, </w:t>
      </w:r>
      <w:r w:rsidRPr="008F0427">
        <w:t>https://www.epa.gov/climate-change-science/future-climate-change</w:t>
      </w:r>
    </w:p>
  </w:footnote>
  <w:footnote w:id="3">
    <w:p w14:paraId="4272DD44" w14:textId="77777777" w:rsidR="00CB4918" w:rsidRDefault="00CB4918" w:rsidP="00CB4918">
      <w:pPr>
        <w:pStyle w:val="FootnoteText"/>
      </w:pPr>
      <w:r>
        <w:rPr>
          <w:rStyle w:val="FootnoteReference"/>
        </w:rPr>
        <w:footnoteRef/>
      </w:r>
      <w:r>
        <w:t xml:space="preserve"> Compact of Mayors, </w:t>
      </w:r>
      <w:r w:rsidRPr="008F0427">
        <w:t>https://www.compactofmayors.org/</w:t>
      </w:r>
    </w:p>
  </w:footnote>
  <w:footnote w:id="4">
    <w:p w14:paraId="4B9F5C29" w14:textId="77777777" w:rsidR="00CB4918" w:rsidRDefault="00CB4918" w:rsidP="00CB4918">
      <w:pPr>
        <w:pStyle w:val="FootnoteText"/>
      </w:pPr>
      <w:r>
        <w:rPr>
          <w:rStyle w:val="FootnoteReference"/>
        </w:rPr>
        <w:footnoteRef/>
      </w:r>
      <w:r>
        <w:t xml:space="preserve"> Global Covenant of Mayors, </w:t>
      </w:r>
      <w:r w:rsidRPr="008F0427">
        <w:t>https://www.compactofmayors.org/globalcovenantofmayors/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45D7" w14:textId="77777777" w:rsidR="00120B30" w:rsidRPr="00AC2404" w:rsidRDefault="004A6AB1">
    <w:pPr>
      <w:pStyle w:val="Header"/>
      <w:rPr>
        <w:rFonts w:cs="Arial"/>
        <w:sz w:val="20"/>
        <w:szCs w:val="20"/>
      </w:rPr>
    </w:pPr>
    <w:r w:rsidRPr="004A6AB1">
      <w:rPr>
        <w:rFonts w:cs="Arial"/>
        <w:sz w:val="20"/>
        <w:szCs w:val="20"/>
      </w:rPr>
      <w:t>Climate Action Plan</w:t>
    </w:r>
  </w:p>
  <w:p w14:paraId="09D403A1" w14:textId="48C7BB5A" w:rsidR="00120B30" w:rsidRPr="00AC2404" w:rsidRDefault="004A6AB1">
    <w:pPr>
      <w:pStyle w:val="Header"/>
      <w:rPr>
        <w:rFonts w:cs="Arial"/>
        <w:sz w:val="20"/>
        <w:szCs w:val="20"/>
      </w:rPr>
    </w:pPr>
    <w:r>
      <w:rPr>
        <w:rFonts w:cs="Arial"/>
        <w:sz w:val="20"/>
        <w:szCs w:val="20"/>
      </w:rPr>
      <w:t>November 1</w:t>
    </w:r>
    <w:r w:rsidR="00A433F4">
      <w:rPr>
        <w:rFonts w:cs="Arial"/>
        <w:sz w:val="20"/>
        <w:szCs w:val="20"/>
      </w:rPr>
      <w:t>5</w:t>
    </w:r>
    <w:r>
      <w:rPr>
        <w:rFonts w:cs="Arial"/>
        <w:sz w:val="20"/>
        <w:szCs w:val="20"/>
      </w:rPr>
      <w:t>, 2016</w:t>
    </w:r>
  </w:p>
  <w:p w14:paraId="259BE5A5" w14:textId="52BDA69D" w:rsidR="00120B30" w:rsidRPr="00AC2404" w:rsidRDefault="00120B30">
    <w:pPr>
      <w:pStyle w:val="Header"/>
      <w:rPr>
        <w:rFonts w:cs="Arial"/>
        <w:sz w:val="20"/>
        <w:szCs w:val="20"/>
      </w:rPr>
    </w:pPr>
    <w:r w:rsidRPr="00AC2404">
      <w:rPr>
        <w:rFonts w:cs="Arial"/>
        <w:sz w:val="20"/>
        <w:szCs w:val="20"/>
      </w:rPr>
      <w:t xml:space="preserve">Page </w:t>
    </w:r>
    <w:r w:rsidRPr="00AC2404">
      <w:rPr>
        <w:rFonts w:cs="Arial"/>
        <w:sz w:val="20"/>
        <w:szCs w:val="20"/>
      </w:rPr>
      <w:fldChar w:fldCharType="begin"/>
    </w:r>
    <w:r w:rsidRPr="00AC2404">
      <w:rPr>
        <w:rFonts w:cs="Arial"/>
        <w:sz w:val="20"/>
        <w:szCs w:val="20"/>
      </w:rPr>
      <w:instrText xml:space="preserve"> PAGE </w:instrText>
    </w:r>
    <w:r w:rsidRPr="00AC2404">
      <w:rPr>
        <w:rFonts w:cs="Arial"/>
        <w:sz w:val="20"/>
        <w:szCs w:val="20"/>
      </w:rPr>
      <w:fldChar w:fldCharType="separate"/>
    </w:r>
    <w:r w:rsidR="00A61B7D">
      <w:rPr>
        <w:rFonts w:cs="Arial"/>
        <w:noProof/>
        <w:sz w:val="20"/>
        <w:szCs w:val="20"/>
      </w:rPr>
      <w:t>6</w:t>
    </w:r>
    <w:r w:rsidRPr="00AC2404">
      <w:rPr>
        <w:rFonts w:cs="Arial"/>
        <w:sz w:val="20"/>
        <w:szCs w:val="20"/>
      </w:rPr>
      <w:fldChar w:fldCharType="end"/>
    </w:r>
    <w:r w:rsidRPr="00AC2404">
      <w:rPr>
        <w:rFonts w:cs="Arial"/>
        <w:sz w:val="20"/>
        <w:szCs w:val="20"/>
      </w:rPr>
      <w:t xml:space="preserve"> of </w:t>
    </w:r>
    <w:r w:rsidRPr="00AC2404">
      <w:rPr>
        <w:rFonts w:cs="Arial"/>
        <w:sz w:val="20"/>
        <w:szCs w:val="20"/>
      </w:rPr>
      <w:fldChar w:fldCharType="begin"/>
    </w:r>
    <w:r w:rsidRPr="00AC2404">
      <w:rPr>
        <w:rFonts w:cs="Arial"/>
        <w:sz w:val="20"/>
        <w:szCs w:val="20"/>
      </w:rPr>
      <w:instrText xml:space="preserve"> NUMPAGES </w:instrText>
    </w:r>
    <w:r w:rsidRPr="00AC2404">
      <w:rPr>
        <w:rFonts w:cs="Arial"/>
        <w:sz w:val="20"/>
        <w:szCs w:val="20"/>
      </w:rPr>
      <w:fldChar w:fldCharType="separate"/>
    </w:r>
    <w:r w:rsidR="00A61B7D">
      <w:rPr>
        <w:rFonts w:cs="Arial"/>
        <w:noProof/>
        <w:sz w:val="20"/>
        <w:szCs w:val="20"/>
      </w:rPr>
      <w:t>6</w:t>
    </w:r>
    <w:r w:rsidRPr="00AC2404">
      <w:rPr>
        <w:rFonts w:cs="Arial"/>
        <w:sz w:val="20"/>
        <w:szCs w:val="20"/>
      </w:rPr>
      <w:fldChar w:fldCharType="end"/>
    </w:r>
  </w:p>
  <w:p w14:paraId="68C5C095" w14:textId="77777777" w:rsidR="00120B30" w:rsidRDefault="00120B30">
    <w:pPr>
      <w:pStyle w:val="Header"/>
      <w:rPr>
        <w:rFonts w:cs="Arial"/>
        <w:sz w:val="20"/>
        <w:szCs w:val="20"/>
      </w:rPr>
    </w:pPr>
  </w:p>
  <w:p w14:paraId="057A0593" w14:textId="77777777" w:rsidR="00684541" w:rsidRPr="00AC2404" w:rsidRDefault="00684541">
    <w:pPr>
      <w:pStyle w:val="Header"/>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CC827" w14:textId="77777777" w:rsidR="00563BF7" w:rsidRPr="00754AEC" w:rsidRDefault="00563BF7" w:rsidP="00563BF7">
    <w:pPr>
      <w:pStyle w:val="Header"/>
      <w:jc w:val="center"/>
      <w:rPr>
        <w:rFonts w:ascii="Century Gothic" w:hAnsi="Century Gothic" w:cs="Arial"/>
        <w:color w:val="0000FF"/>
        <w:sz w:val="56"/>
        <w:szCs w:val="56"/>
        <w14:shadow w14:blurRad="50800" w14:dist="38100" w14:dir="2700000" w14:sx="100000" w14:sy="100000" w14:kx="0" w14:ky="0" w14:algn="tl">
          <w14:srgbClr w14:val="000000">
            <w14:alpha w14:val="60000"/>
          </w14:srgbClr>
        </w14:shadow>
      </w:rPr>
    </w:pPr>
    <w:r w:rsidRPr="00754AEC">
      <w:rPr>
        <w:rFonts w:cs="Arial"/>
        <w:noProof/>
        <w:color w:val="0000FF"/>
        <w:sz w:val="56"/>
        <w:szCs w:val="56"/>
        <w14:textOutline w14:w="3175" w14:cap="rnd" w14:cmpd="sng" w14:algn="ctr">
          <w14:solidFill>
            <w14:srgbClr w14:val="0000FF"/>
          </w14:solidFill>
          <w14:prstDash w14:val="solid"/>
          <w14:bevel/>
        </w14:textOutline>
      </w:rPr>
      <w:drawing>
        <wp:anchor distT="0" distB="0" distL="114300" distR="114300" simplePos="0" relativeHeight="251659264" behindDoc="1" locked="0" layoutInCell="1" allowOverlap="1" wp14:anchorId="16401C54" wp14:editId="348B8919">
          <wp:simplePos x="0" y="0"/>
          <wp:positionH relativeFrom="column">
            <wp:posOffset>47625</wp:posOffset>
          </wp:positionH>
          <wp:positionV relativeFrom="paragraph">
            <wp:posOffset>-200025</wp:posOffset>
          </wp:positionV>
          <wp:extent cx="866775" cy="866775"/>
          <wp:effectExtent l="0" t="0" r="9525" b="9525"/>
          <wp:wrapNone/>
          <wp:docPr id="1" name="Picture 1"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AEC">
      <w:rPr>
        <w:rFonts w:ascii="Century Gothic" w:hAnsi="Century Gothic" w:cs="Arial"/>
        <w:color w:val="0000FF"/>
        <w:sz w:val="56"/>
        <w:szCs w:val="56"/>
        <w14:textOutline w14:w="3175" w14:cap="rnd" w14:cmpd="sng" w14:algn="ctr">
          <w14:solidFill>
            <w14:srgbClr w14:val="0000FF"/>
          </w14:solidFill>
          <w14:prstDash w14:val="solid"/>
          <w14:bevel/>
        </w14:textOutline>
      </w:rPr>
      <w:t>City of Emeryville</w:t>
    </w:r>
  </w:p>
  <w:p w14:paraId="05C75152" w14:textId="77777777" w:rsidR="00563BF7" w:rsidRPr="00CD1723" w:rsidRDefault="00563BF7" w:rsidP="00563BF7">
    <w:pPr>
      <w:pStyle w:val="Header"/>
      <w:jc w:val="center"/>
      <w:rPr>
        <w:rFonts w:cs="Arial"/>
        <w:color w:val="7F7F7F" w:themeColor="text1" w:themeTint="80"/>
        <w:spacing w:val="100"/>
        <w:sz w:val="16"/>
        <w:szCs w:val="16"/>
      </w:rPr>
    </w:pPr>
    <w:r w:rsidRPr="00CD1723">
      <w:rPr>
        <w:rFonts w:cs="Arial"/>
        <w:color w:val="7F7F7F" w:themeColor="text1" w:themeTint="80"/>
        <w:spacing w:val="100"/>
        <w:sz w:val="16"/>
        <w:szCs w:val="16"/>
      </w:rPr>
      <w:t>CALIFORNIA</w:t>
    </w:r>
  </w:p>
  <w:p w14:paraId="4A875F66" w14:textId="77777777" w:rsidR="00563BF7" w:rsidRPr="00AD2E97" w:rsidRDefault="00563BF7" w:rsidP="00563BF7">
    <w:pPr>
      <w:pStyle w:val="Header"/>
      <w:rPr>
        <w:rFonts w:cs="Arial"/>
        <w:color w:val="002060"/>
        <w:sz w:val="20"/>
        <w:szCs w:val="20"/>
      </w:rPr>
    </w:pPr>
  </w:p>
  <w:p w14:paraId="4663B721" w14:textId="77777777" w:rsidR="00563BF7" w:rsidRDefault="00563BF7" w:rsidP="00563BF7">
    <w:pPr>
      <w:pStyle w:val="Header"/>
      <w:rPr>
        <w:color w:val="002060"/>
        <w:sz w:val="20"/>
        <w:szCs w:val="20"/>
      </w:rPr>
    </w:pPr>
  </w:p>
  <w:p w14:paraId="7A75361D" w14:textId="77777777" w:rsidR="00563BF7" w:rsidRPr="00841C7E" w:rsidRDefault="00563BF7" w:rsidP="00563BF7">
    <w:pPr>
      <w:jc w:val="center"/>
      <w:rPr>
        <w:rFonts w:cs="Arial"/>
        <w:b/>
        <w:spacing w:val="60"/>
      </w:rPr>
    </w:pPr>
    <w:r w:rsidRPr="00841C7E">
      <w:rPr>
        <w:rFonts w:cs="Arial"/>
        <w:b/>
        <w:spacing w:val="60"/>
      </w:rPr>
      <w:t>MEMORANDUM</w:t>
    </w:r>
  </w:p>
  <w:p w14:paraId="7DAA0186" w14:textId="77777777" w:rsidR="00120B30" w:rsidRPr="00563BF7" w:rsidRDefault="00120B30" w:rsidP="00563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165EA"/>
    <w:multiLevelType w:val="multilevel"/>
    <w:tmpl w:val="03A2A60E"/>
    <w:styleLink w:val="StyleOutlinenumbered"/>
    <w:lvl w:ilvl="0">
      <w:start w:val="1"/>
      <w:numFmt w:val="decimal"/>
      <w:lvlText w:val="Section %1."/>
      <w:lvlJc w:val="left"/>
      <w:pPr>
        <w:tabs>
          <w:tab w:val="num" w:pos="720"/>
        </w:tabs>
        <w:ind w:left="720" w:hanging="720"/>
      </w:pPr>
      <w:rPr>
        <w:rFonts w:hint="default"/>
        <w:b/>
        <w:sz w:val="24"/>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64C05613"/>
    <w:multiLevelType w:val="hybridMultilevel"/>
    <w:tmpl w:val="2AD221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C45D9"/>
    <w:multiLevelType w:val="multilevel"/>
    <w:tmpl w:val="7A7A252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706C40C0"/>
    <w:multiLevelType w:val="hybridMultilevel"/>
    <w:tmpl w:val="AB7402D6"/>
    <w:lvl w:ilvl="0" w:tplc="24F2C1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21015BD"/>
    <w:multiLevelType w:val="multilevel"/>
    <w:tmpl w:val="7A7A252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num>
  <w:num w:numId="2">
    <w:abstractNumId w:val="0"/>
  </w:num>
  <w:num w:numId="3">
    <w:abstractNumId w:val="3"/>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Visveshwara">
    <w15:presenceInfo w15:providerId="None" w15:userId="Andrea Visveshw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5B"/>
    <w:rsid w:val="00000DDA"/>
    <w:rsid w:val="00002890"/>
    <w:rsid w:val="000152A7"/>
    <w:rsid w:val="000C652B"/>
    <w:rsid w:val="000F6274"/>
    <w:rsid w:val="00101406"/>
    <w:rsid w:val="00120B30"/>
    <w:rsid w:val="00136880"/>
    <w:rsid w:val="00150DFC"/>
    <w:rsid w:val="00176E87"/>
    <w:rsid w:val="00266EBE"/>
    <w:rsid w:val="002D1812"/>
    <w:rsid w:val="002F2C94"/>
    <w:rsid w:val="003524AD"/>
    <w:rsid w:val="00384707"/>
    <w:rsid w:val="003A53B8"/>
    <w:rsid w:val="003A63A9"/>
    <w:rsid w:val="003B33CA"/>
    <w:rsid w:val="00402D25"/>
    <w:rsid w:val="00403306"/>
    <w:rsid w:val="00412082"/>
    <w:rsid w:val="00440DD9"/>
    <w:rsid w:val="00453769"/>
    <w:rsid w:val="00484401"/>
    <w:rsid w:val="0049370F"/>
    <w:rsid w:val="004A6AB1"/>
    <w:rsid w:val="004C0048"/>
    <w:rsid w:val="004C0C4F"/>
    <w:rsid w:val="004F4D2C"/>
    <w:rsid w:val="005064D9"/>
    <w:rsid w:val="00534DFC"/>
    <w:rsid w:val="00542277"/>
    <w:rsid w:val="005554D9"/>
    <w:rsid w:val="00563BF7"/>
    <w:rsid w:val="005848CE"/>
    <w:rsid w:val="005A018A"/>
    <w:rsid w:val="0060215B"/>
    <w:rsid w:val="00634186"/>
    <w:rsid w:val="00666974"/>
    <w:rsid w:val="006770FB"/>
    <w:rsid w:val="006807BE"/>
    <w:rsid w:val="00684541"/>
    <w:rsid w:val="006B1C4D"/>
    <w:rsid w:val="006C40A1"/>
    <w:rsid w:val="0070753C"/>
    <w:rsid w:val="00741795"/>
    <w:rsid w:val="00742849"/>
    <w:rsid w:val="0076627D"/>
    <w:rsid w:val="00770384"/>
    <w:rsid w:val="00770D50"/>
    <w:rsid w:val="007B73CC"/>
    <w:rsid w:val="008B0CC2"/>
    <w:rsid w:val="008B2BA9"/>
    <w:rsid w:val="008B62C7"/>
    <w:rsid w:val="008D588F"/>
    <w:rsid w:val="00925919"/>
    <w:rsid w:val="00934955"/>
    <w:rsid w:val="00943BE7"/>
    <w:rsid w:val="009665BB"/>
    <w:rsid w:val="009A5459"/>
    <w:rsid w:val="009A58D8"/>
    <w:rsid w:val="009B0BEF"/>
    <w:rsid w:val="009B78DE"/>
    <w:rsid w:val="009E7E80"/>
    <w:rsid w:val="00A00AE9"/>
    <w:rsid w:val="00A433F4"/>
    <w:rsid w:val="00A44140"/>
    <w:rsid w:val="00A51D30"/>
    <w:rsid w:val="00A53176"/>
    <w:rsid w:val="00A61B7D"/>
    <w:rsid w:val="00AC2404"/>
    <w:rsid w:val="00B60063"/>
    <w:rsid w:val="00B7257D"/>
    <w:rsid w:val="00B87B55"/>
    <w:rsid w:val="00BB1ACB"/>
    <w:rsid w:val="00C004FF"/>
    <w:rsid w:val="00C071C6"/>
    <w:rsid w:val="00C24469"/>
    <w:rsid w:val="00CA580A"/>
    <w:rsid w:val="00CB0ADD"/>
    <w:rsid w:val="00CB345D"/>
    <w:rsid w:val="00CB4918"/>
    <w:rsid w:val="00CC7094"/>
    <w:rsid w:val="00D34A83"/>
    <w:rsid w:val="00D75ECC"/>
    <w:rsid w:val="00D903CA"/>
    <w:rsid w:val="00E745C5"/>
    <w:rsid w:val="00E80B40"/>
    <w:rsid w:val="00EC19A4"/>
    <w:rsid w:val="00EF13A9"/>
    <w:rsid w:val="00EF4E7E"/>
    <w:rsid w:val="00EF7226"/>
    <w:rsid w:val="00F310C3"/>
    <w:rsid w:val="00F46989"/>
    <w:rsid w:val="00F53B9E"/>
    <w:rsid w:val="00F7190A"/>
    <w:rsid w:val="00FA69FE"/>
    <w:rsid w:val="00FD0BFE"/>
    <w:rsid w:val="00F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0220A"/>
  <w15:docId w15:val="{6248E183-11C7-4280-B3DC-3FE366E7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75ECC"/>
    <w:rPr>
      <w:rFonts w:ascii="Arial" w:hAnsi="Arial"/>
      <w:sz w:val="24"/>
      <w:szCs w:val="24"/>
    </w:rPr>
  </w:style>
  <w:style w:type="paragraph" w:styleId="Heading1">
    <w:name w:val="heading 1"/>
    <w:basedOn w:val="Normal"/>
    <w:next w:val="Normal"/>
    <w:link w:val="Heading1Char"/>
    <w:autoRedefine/>
    <w:qFormat/>
    <w:rsid w:val="009B78DE"/>
    <w:pPr>
      <w:keepNext/>
      <w:keepLines/>
      <w:spacing w:before="480" w:after="240"/>
      <w:jc w:val="both"/>
      <w:outlineLvl w:val="0"/>
    </w:pPr>
    <w:rPr>
      <w:rFonts w:eastAsiaTheme="majorEastAsia"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
    <w:name w:val="Style Outline numbered"/>
    <w:basedOn w:val="NoList"/>
    <w:rsid w:val="00925919"/>
    <w:pPr>
      <w:numPr>
        <w:numId w:val="1"/>
      </w:numPr>
    </w:pPr>
  </w:style>
  <w:style w:type="paragraph" w:styleId="Header">
    <w:name w:val="header"/>
    <w:basedOn w:val="Normal"/>
    <w:link w:val="HeaderChar"/>
    <w:uiPriority w:val="99"/>
    <w:rsid w:val="0060215B"/>
    <w:pPr>
      <w:tabs>
        <w:tab w:val="center" w:pos="4320"/>
        <w:tab w:val="right" w:pos="8640"/>
      </w:tabs>
    </w:pPr>
  </w:style>
  <w:style w:type="paragraph" w:styleId="Footer">
    <w:name w:val="footer"/>
    <w:basedOn w:val="Normal"/>
    <w:rsid w:val="0060215B"/>
    <w:pPr>
      <w:tabs>
        <w:tab w:val="center" w:pos="4320"/>
        <w:tab w:val="right" w:pos="8640"/>
      </w:tabs>
    </w:pPr>
  </w:style>
  <w:style w:type="table" w:styleId="TableGrid">
    <w:name w:val="Table Grid"/>
    <w:basedOn w:val="TableNormal"/>
    <w:rsid w:val="00EC1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84541"/>
    <w:rPr>
      <w:sz w:val="24"/>
      <w:szCs w:val="24"/>
    </w:rPr>
  </w:style>
  <w:style w:type="character" w:customStyle="1" w:styleId="Heading1Char">
    <w:name w:val="Heading 1 Char"/>
    <w:basedOn w:val="DefaultParagraphFont"/>
    <w:link w:val="Heading1"/>
    <w:rsid w:val="009B78DE"/>
    <w:rPr>
      <w:rFonts w:ascii="Arial" w:eastAsiaTheme="majorEastAsia" w:hAnsi="Arial" w:cstheme="majorBidi"/>
      <w:b/>
      <w:caps/>
      <w:sz w:val="24"/>
      <w:szCs w:val="32"/>
    </w:rPr>
  </w:style>
  <w:style w:type="paragraph" w:styleId="FootnoteText">
    <w:name w:val="footnote text"/>
    <w:basedOn w:val="Normal"/>
    <w:link w:val="FootnoteTextChar"/>
    <w:rsid w:val="00CB4918"/>
    <w:rPr>
      <w:rFonts w:ascii="Times New Roman" w:hAnsi="Times New Roman"/>
      <w:sz w:val="20"/>
      <w:szCs w:val="20"/>
    </w:rPr>
  </w:style>
  <w:style w:type="character" w:customStyle="1" w:styleId="FootnoteTextChar">
    <w:name w:val="Footnote Text Char"/>
    <w:basedOn w:val="DefaultParagraphFont"/>
    <w:link w:val="FootnoteText"/>
    <w:rsid w:val="00CB4918"/>
  </w:style>
  <w:style w:type="character" w:styleId="FootnoteReference">
    <w:name w:val="footnote reference"/>
    <w:rsid w:val="00CB4918"/>
    <w:rPr>
      <w:vertAlign w:val="superscript"/>
    </w:rPr>
  </w:style>
  <w:style w:type="paragraph" w:styleId="ListParagraph">
    <w:name w:val="List Paragraph"/>
    <w:basedOn w:val="Normal"/>
    <w:uiPriority w:val="34"/>
    <w:qFormat/>
    <w:rsid w:val="00CB491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CB4918"/>
    <w:rPr>
      <w:rFonts w:ascii="Calibri" w:eastAsia="Calibri" w:hAnsi="Calibri"/>
      <w:sz w:val="22"/>
      <w:szCs w:val="22"/>
    </w:rPr>
  </w:style>
  <w:style w:type="character" w:styleId="CommentReference">
    <w:name w:val="annotation reference"/>
    <w:basedOn w:val="DefaultParagraphFont"/>
    <w:semiHidden/>
    <w:unhideWhenUsed/>
    <w:rsid w:val="00770384"/>
    <w:rPr>
      <w:sz w:val="16"/>
      <w:szCs w:val="16"/>
    </w:rPr>
  </w:style>
  <w:style w:type="paragraph" w:styleId="CommentText">
    <w:name w:val="annotation text"/>
    <w:basedOn w:val="Normal"/>
    <w:link w:val="CommentTextChar"/>
    <w:semiHidden/>
    <w:unhideWhenUsed/>
    <w:rsid w:val="00770384"/>
    <w:rPr>
      <w:sz w:val="20"/>
      <w:szCs w:val="20"/>
    </w:rPr>
  </w:style>
  <w:style w:type="character" w:customStyle="1" w:styleId="CommentTextChar">
    <w:name w:val="Comment Text Char"/>
    <w:basedOn w:val="DefaultParagraphFont"/>
    <w:link w:val="CommentText"/>
    <w:semiHidden/>
    <w:rsid w:val="00770384"/>
    <w:rPr>
      <w:rFonts w:ascii="Arial" w:hAnsi="Arial"/>
    </w:rPr>
  </w:style>
  <w:style w:type="paragraph" w:styleId="CommentSubject">
    <w:name w:val="annotation subject"/>
    <w:basedOn w:val="CommentText"/>
    <w:next w:val="CommentText"/>
    <w:link w:val="CommentSubjectChar"/>
    <w:semiHidden/>
    <w:unhideWhenUsed/>
    <w:rsid w:val="00770384"/>
    <w:rPr>
      <w:b/>
      <w:bCs/>
    </w:rPr>
  </w:style>
  <w:style w:type="character" w:customStyle="1" w:styleId="CommentSubjectChar">
    <w:name w:val="Comment Subject Char"/>
    <w:basedOn w:val="CommentTextChar"/>
    <w:link w:val="CommentSubject"/>
    <w:semiHidden/>
    <w:rsid w:val="00770384"/>
    <w:rPr>
      <w:rFonts w:ascii="Arial" w:hAnsi="Arial"/>
      <w:b/>
      <w:bCs/>
    </w:rPr>
  </w:style>
  <w:style w:type="paragraph" w:styleId="BalloonText">
    <w:name w:val="Balloon Text"/>
    <w:basedOn w:val="Normal"/>
    <w:link w:val="BalloonTextChar"/>
    <w:semiHidden/>
    <w:unhideWhenUsed/>
    <w:rsid w:val="00770384"/>
    <w:rPr>
      <w:rFonts w:ascii="Segoe UI" w:hAnsi="Segoe UI" w:cs="Segoe UI"/>
      <w:sz w:val="18"/>
      <w:szCs w:val="18"/>
    </w:rPr>
  </w:style>
  <w:style w:type="character" w:customStyle="1" w:styleId="BalloonTextChar">
    <w:name w:val="Balloon Text Char"/>
    <w:basedOn w:val="DefaultParagraphFont"/>
    <w:link w:val="BalloonText"/>
    <w:semiHidden/>
    <w:rsid w:val="00770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C32FF517</Template>
  <TotalTime>0</TotalTime>
  <Pages>6</Pages>
  <Words>2142</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City of Emeryville</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lleong</dc:creator>
  <cp:lastModifiedBy>Nancy Humphrey</cp:lastModifiedBy>
  <cp:revision>2</cp:revision>
  <dcterms:created xsi:type="dcterms:W3CDTF">2016-10-24T22:00:00Z</dcterms:created>
  <dcterms:modified xsi:type="dcterms:W3CDTF">2016-10-24T22:00:00Z</dcterms:modified>
</cp:coreProperties>
</file>